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E3137C" w:rsidRPr="00E3137C">
        <w:t xml:space="preserve">пищевого технологического и холодильного оборудования, переносного ручного </w:t>
      </w:r>
      <w:r w:rsidR="009A2402" w:rsidRPr="009A2402">
        <w:t>электрооборудования</w:t>
      </w:r>
      <w:r w:rsidR="00E3137C" w:rsidRPr="00E3137C">
        <w:t xml:space="preserve"> для АН ДОО "Алмазик"</w:t>
      </w:r>
      <w:r w:rsidR="00737F90">
        <w:t xml:space="preserve">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FD5E2A">
          <w:rPr>
            <w:noProof/>
            <w:webHidden/>
          </w:rPr>
          <w:t>4</w:t>
        </w:r>
        <w:r w:rsidR="00650B5C">
          <w:rPr>
            <w:noProof/>
            <w:webHidden/>
          </w:rPr>
          <w:fldChar w:fldCharType="end"/>
        </w:r>
      </w:hyperlink>
    </w:p>
    <w:p w:rsidR="00650B5C" w:rsidRDefault="00746887">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FD5E2A">
          <w:rPr>
            <w:noProof/>
            <w:webHidden/>
          </w:rPr>
          <w:t>6</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FD5E2A">
          <w:rPr>
            <w:noProof/>
            <w:webHidden/>
          </w:rPr>
          <w:t>7</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FD5E2A">
          <w:rPr>
            <w:noProof/>
            <w:webHidden/>
          </w:rPr>
          <w:t>7</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FD5E2A">
          <w:rPr>
            <w:noProof/>
            <w:webHidden/>
          </w:rPr>
          <w:t>7</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FD5E2A">
          <w:rPr>
            <w:noProof/>
            <w:webHidden/>
          </w:rPr>
          <w:t>23</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FD5E2A">
          <w:rPr>
            <w:noProof/>
            <w:webHidden/>
          </w:rPr>
          <w:t>23</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FD5E2A">
          <w:rPr>
            <w:noProof/>
            <w:webHidden/>
          </w:rPr>
          <w:t>24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FD5E2A">
          <w:rPr>
            <w:noProof/>
            <w:webHidden/>
          </w:rPr>
          <w:t>24</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FD5E2A">
          <w:rPr>
            <w:noProof/>
            <w:webHidden/>
          </w:rPr>
          <w:t>24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FD5E2A">
          <w:rPr>
            <w:noProof/>
            <w:webHidden/>
          </w:rPr>
          <w:t>24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FD5E2A">
          <w:rPr>
            <w:noProof/>
            <w:webHidden/>
          </w:rPr>
          <w:t>25</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FD5E2A">
          <w:rPr>
            <w:noProof/>
            <w:webHidden/>
          </w:rPr>
          <w:t>25</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FD5E2A">
          <w:rPr>
            <w:noProof/>
            <w:webHidden/>
          </w:rPr>
          <w:t>26</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FD5E2A">
          <w:rPr>
            <w:noProof/>
            <w:webHidden/>
          </w:rPr>
          <w:t>27</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FD5E2A">
          <w:rPr>
            <w:noProof/>
            <w:webHidden/>
          </w:rPr>
          <w:t>28</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FD5E2A">
          <w:rPr>
            <w:noProof/>
            <w:webHidden/>
          </w:rPr>
          <w:t>29</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FD5E2A">
          <w:rPr>
            <w:noProof/>
            <w:webHidden/>
          </w:rPr>
          <w:t>30</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FD5E2A">
          <w:rPr>
            <w:noProof/>
            <w:webHidden/>
          </w:rPr>
          <w:t>31</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FD5E2A">
          <w:rPr>
            <w:noProof/>
            <w:webHidden/>
          </w:rPr>
          <w:t>31</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FD5E2A">
          <w:rPr>
            <w:noProof/>
            <w:webHidden/>
          </w:rPr>
          <w:t>31</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FD5E2A">
          <w:rPr>
            <w:noProof/>
            <w:webHidden/>
          </w:rPr>
          <w:t>32</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FD5E2A">
          <w:rPr>
            <w:noProof/>
            <w:webHidden/>
          </w:rPr>
          <w:t>35</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FD5E2A">
          <w:rPr>
            <w:noProof/>
            <w:webHidden/>
          </w:rPr>
          <w:t>35</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FD5E2A">
          <w:rPr>
            <w:noProof/>
            <w:webHidden/>
          </w:rPr>
          <w:t>38</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FD5E2A">
          <w:rPr>
            <w:noProof/>
            <w:webHidden/>
          </w:rPr>
          <w:t>38</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FD5E2A">
          <w:rPr>
            <w:noProof/>
            <w:webHidden/>
          </w:rPr>
          <w:t>39</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FD5E2A">
          <w:rPr>
            <w:noProof/>
            <w:webHidden/>
          </w:rPr>
          <w:t>40</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FD5E2A">
          <w:rPr>
            <w:noProof/>
            <w:webHidden/>
          </w:rPr>
          <w:t>40</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FD5E2A">
          <w:rPr>
            <w:noProof/>
            <w:webHidden/>
          </w:rPr>
          <w:t>40</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FD5E2A">
          <w:rPr>
            <w:noProof/>
            <w:webHidden/>
          </w:rPr>
          <w:t>41</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FD5E2A">
          <w:rPr>
            <w:noProof/>
            <w:webHidden/>
          </w:rPr>
          <w:t>43</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FD5E2A">
          <w:rPr>
            <w:noProof/>
            <w:webHidden/>
          </w:rPr>
          <w:t>43</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FD5E2A">
          <w:rPr>
            <w:noProof/>
            <w:webHidden/>
          </w:rPr>
          <w:t>43</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FD5E2A">
          <w:rPr>
            <w:noProof/>
            <w:webHidden/>
          </w:rPr>
          <w:t>44</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FD5E2A">
          <w:rPr>
            <w:noProof/>
            <w:webHidden/>
          </w:rPr>
          <w:t>44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FD5E2A">
          <w:rPr>
            <w:noProof/>
            <w:webHidden/>
          </w:rPr>
          <w:t>44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FD5E2A">
          <w:rPr>
            <w:noProof/>
            <w:webHidden/>
          </w:rPr>
          <w:t>46</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FD5E2A">
          <w:rPr>
            <w:noProof/>
            <w:webHidden/>
          </w:rPr>
          <w:t>47</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FD5E2A">
          <w:rPr>
            <w:noProof/>
            <w:webHidden/>
          </w:rPr>
          <w:t>48</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FD5E2A">
          <w:rPr>
            <w:noProof/>
            <w:webHidden/>
          </w:rPr>
          <w:t>49</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FD5E2A">
          <w:rPr>
            <w:noProof/>
            <w:webHidden/>
          </w:rPr>
          <w:t>49</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FD5E2A">
          <w:rPr>
            <w:noProof/>
            <w:webHidden/>
          </w:rPr>
          <w:t>49</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FD5E2A">
          <w:rPr>
            <w:noProof/>
            <w:webHidden/>
          </w:rPr>
          <w:t>51</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FD5E2A">
          <w:rPr>
            <w:noProof/>
            <w:webHidden/>
          </w:rPr>
          <w:t>51</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FD5E2A">
          <w:rPr>
            <w:noProof/>
            <w:webHidden/>
          </w:rPr>
          <w:t>52</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FD5E2A">
          <w:rPr>
            <w:noProof/>
            <w:webHidden/>
          </w:rPr>
          <w:t>55</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FD5E2A">
          <w:rPr>
            <w:noProof/>
            <w:webHidden/>
          </w:rPr>
          <w:t>56</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FD5E2A">
          <w:rPr>
            <w:noProof/>
            <w:webHidden/>
          </w:rPr>
          <w:t>58</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FD5E2A">
          <w:rPr>
            <w:noProof/>
            <w:webHidden/>
          </w:rPr>
          <w:t>64</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FD5E2A">
          <w:rPr>
            <w:noProof/>
            <w:webHidden/>
          </w:rPr>
          <w:t>69</w:t>
        </w:r>
        <w:r w:rsidR="00650B5C">
          <w:rPr>
            <w:noProof/>
            <w:webHidden/>
          </w:rPr>
          <w:fldChar w:fldCharType="end"/>
        </w:r>
      </w:hyperlink>
    </w:p>
    <w:p w:rsidR="00650B5C" w:rsidRDefault="00746887">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FD5E2A">
          <w:rPr>
            <w:noProof/>
            <w:webHidden/>
          </w:rPr>
          <w:t>71</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FD5E2A">
          <w:rPr>
            <w:noProof/>
            <w:webHidden/>
          </w:rPr>
          <w:t>71</w:t>
        </w:r>
        <w:r w:rsidR="00650B5C">
          <w:rPr>
            <w:noProof/>
            <w:webHidden/>
          </w:rPr>
          <w:fldChar w:fldCharType="end"/>
        </w:r>
      </w:hyperlink>
    </w:p>
    <w:p w:rsidR="00650B5C" w:rsidRDefault="0074688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FD5E2A">
          <w:rPr>
            <w:noProof/>
            <w:webHidden/>
          </w:rPr>
          <w:t>72</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FD5E2A">
          <w:rPr>
            <w:noProof/>
            <w:webHidden/>
          </w:rPr>
          <w:t>73</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FD5E2A">
          <w:rPr>
            <w:noProof/>
            <w:webHidden/>
          </w:rPr>
          <w:t>74</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FD5E2A">
          <w:rPr>
            <w:noProof/>
            <w:webHidden/>
          </w:rPr>
          <w:t>76</w:t>
        </w:r>
        <w:r w:rsidR="00650B5C">
          <w:rPr>
            <w:noProof/>
            <w:webHidden/>
          </w:rPr>
          <w:fldChar w:fldCharType="end"/>
        </w:r>
      </w:hyperlink>
    </w:p>
    <w:p w:rsidR="00650B5C" w:rsidRDefault="0074688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FD5E2A">
          <w:rPr>
            <w:noProof/>
            <w:webHidden/>
          </w:rPr>
          <w:t>77</w:t>
        </w:r>
        <w:r w:rsidR="00650B5C">
          <w:rPr>
            <w:noProof/>
            <w:webHidden/>
          </w:rPr>
          <w:fldChar w:fldCharType="end"/>
        </w:r>
      </w:hyperlink>
    </w:p>
    <w:p w:rsidR="00650B5C" w:rsidRDefault="0074688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FD5E2A">
          <w:rPr>
            <w:noProof/>
            <w:webHidden/>
          </w:rPr>
          <w:t>78</w:t>
        </w:r>
        <w:r w:rsidR="00650B5C">
          <w:rPr>
            <w:noProof/>
            <w:webHidden/>
          </w:rPr>
          <w:fldChar w:fldCharType="end"/>
        </w:r>
      </w:hyperlink>
    </w:p>
    <w:p w:rsidR="00650B5C" w:rsidRDefault="00746887">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FD5E2A">
          <w:rPr>
            <w:noProof/>
            <w:webHidden/>
          </w:rPr>
          <w:t>78</w:t>
        </w:r>
        <w:r w:rsidR="00650B5C">
          <w:rPr>
            <w:noProof/>
            <w:webHidden/>
          </w:rPr>
          <w:fldChar w:fldCharType="end"/>
        </w:r>
      </w:hyperlink>
    </w:p>
    <w:p w:rsidR="00650B5C" w:rsidRPr="00650B5C" w:rsidRDefault="00650B5C" w:rsidP="00650B5C">
      <w:pPr>
        <w:jc w:val="left"/>
      </w:pPr>
      <w:r>
        <w:t>ПРИЛОЖЕНИЕ 2: Техническое задание .……………………………………………………..89</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FD5E2A">
          <w:rPr>
            <w:noProof/>
            <w:webHidden/>
          </w:rPr>
          <w:t>98</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99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107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D5E2A">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E3137C" w:rsidRPr="00E3137C">
              <w:t xml:space="preserve">пищевого технологического и холодильного оборудования, переносного ручного </w:t>
            </w:r>
            <w:r w:rsidR="009A2402" w:rsidRPr="009A2402">
              <w:t>электрооборудования</w:t>
            </w:r>
            <w:r w:rsidR="00E3137C" w:rsidRPr="00E3137C">
              <w:t xml:space="preserve"> для АН ДОО "Алмазик"</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F39AE">
              <w:t>Задорожняя Юлия Владимировна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746887">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C2C2F">
            <w:pPr>
              <w:spacing w:before="60" w:after="60"/>
            </w:pPr>
            <w:r>
              <w:t xml:space="preserve">До </w:t>
            </w:r>
            <w:r w:rsidR="008C2C2F">
              <w:t>23</w:t>
            </w:r>
            <w:r>
              <w:t>.0</w:t>
            </w:r>
            <w:r w:rsidR="008C2C2F">
              <w:t>8</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E3137C" w:rsidP="008C2C2F">
            <w:pPr>
              <w:spacing w:before="0"/>
              <w:rPr>
                <w:highlight w:val="yellow"/>
              </w:rPr>
            </w:pPr>
            <w:r>
              <w:rPr>
                <w:b/>
                <w:bCs/>
                <w:color w:val="000000"/>
              </w:rPr>
              <w:t>1</w:t>
            </w:r>
            <w:r w:rsidR="008C2C2F">
              <w:rPr>
                <w:b/>
                <w:bCs/>
                <w:color w:val="000000"/>
              </w:rPr>
              <w:t> 870 835</w:t>
            </w:r>
            <w:r w:rsidR="00737F90">
              <w:rPr>
                <w:b/>
              </w:rPr>
              <w:t xml:space="preserve"> (</w:t>
            </w:r>
            <w:r w:rsidRPr="00E3137C">
              <w:rPr>
                <w:b/>
              </w:rPr>
              <w:t xml:space="preserve">Один миллион </w:t>
            </w:r>
            <w:r w:rsidR="008C2C2F">
              <w:rPr>
                <w:b/>
              </w:rPr>
              <w:t>восемьсот семьдесят тысяч восемьсот тридцать пять</w:t>
            </w:r>
            <w:r w:rsidR="004A6FEB">
              <w:rPr>
                <w:b/>
              </w:rPr>
              <w:t>) рублей</w:t>
            </w:r>
            <w:r>
              <w:rPr>
                <w:b/>
              </w:rPr>
              <w:t xml:space="preserve"> </w:t>
            </w:r>
            <w:r w:rsidR="008C2C2F">
              <w:rPr>
                <w:b/>
              </w:rPr>
              <w:t>09</w:t>
            </w:r>
            <w:r w:rsidR="00737F90">
              <w:rPr>
                <w:b/>
              </w:rPr>
              <w:t xml:space="preserve">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8C2C2F">
            <w:pPr>
              <w:spacing w:before="60" w:after="60"/>
              <w:rPr>
                <w:i/>
                <w:highlight w:val="yellow"/>
              </w:rPr>
            </w:pPr>
            <w:r>
              <w:t xml:space="preserve">с </w:t>
            </w:r>
            <w:r w:rsidR="008C2C2F">
              <w:t>20</w:t>
            </w:r>
            <w:r w:rsidR="002A58A5">
              <w:t>.</w:t>
            </w:r>
            <w:r w:rsidR="00737F90">
              <w:t>0</w:t>
            </w:r>
            <w:r w:rsidR="008C2C2F">
              <w:t>5</w:t>
            </w:r>
            <w:r w:rsidR="002A58A5">
              <w:t>.20</w:t>
            </w:r>
            <w:r w:rsidR="00D912C6">
              <w:t>21</w:t>
            </w:r>
            <w:r w:rsidR="008C2C2F">
              <w:t xml:space="preserve"> по 0</w:t>
            </w:r>
            <w:r w:rsidR="00D912C6">
              <w:t>2</w:t>
            </w:r>
            <w:r w:rsidRPr="008C0CAC">
              <w:t>.</w:t>
            </w:r>
            <w:r w:rsidR="00737F90">
              <w:t>0</w:t>
            </w:r>
            <w:r w:rsidR="008C2C2F">
              <w:t>6</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8C2C2F">
            <w:pPr>
              <w:spacing w:before="60" w:after="60"/>
            </w:pPr>
            <w:r>
              <w:t xml:space="preserve">с </w:t>
            </w:r>
            <w:r w:rsidR="008C2C2F">
              <w:t>20</w:t>
            </w:r>
            <w:r w:rsidR="00C36E6D">
              <w:t>.0</w:t>
            </w:r>
            <w:r w:rsidR="008C2C2F">
              <w:t>5</w:t>
            </w:r>
            <w:r w:rsidR="00125D03">
              <w:t>.202</w:t>
            </w:r>
            <w:r w:rsidR="00D912C6">
              <w:t>1</w:t>
            </w:r>
            <w:r w:rsidR="00125D03">
              <w:t xml:space="preserve"> по </w:t>
            </w:r>
            <w:r w:rsidR="00D912C6">
              <w:t>0</w:t>
            </w:r>
            <w:r w:rsidR="008C2C2F">
              <w:t>2</w:t>
            </w:r>
            <w:r w:rsidR="00125D03" w:rsidRPr="008C0CAC">
              <w:t>.</w:t>
            </w:r>
            <w:r w:rsidR="00125D03">
              <w:t>0</w:t>
            </w:r>
            <w:r w:rsidR="008C2C2F">
              <w:t>6</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8C2C2F">
              <w:t>0</w:t>
            </w:r>
            <w:r w:rsidR="00D912C6">
              <w:t>3</w:t>
            </w:r>
            <w:r w:rsidRPr="008C0CAC">
              <w:t>.</w:t>
            </w:r>
            <w:r w:rsidR="00737F90">
              <w:t>0</w:t>
            </w:r>
            <w:r w:rsidR="008C2C2F">
              <w:t>6</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8C2C2F">
              <w:t>10</w:t>
            </w:r>
            <w:r w:rsidR="000C5172">
              <w:t>.</w:t>
            </w:r>
            <w:r w:rsidR="00DD63A5">
              <w:t>0</w:t>
            </w:r>
            <w:r w:rsidR="008C2C2F">
              <w:t>6</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8C2C2F">
              <w:rPr>
                <w:szCs w:val="24"/>
              </w:rPr>
              <w:t>17</w:t>
            </w:r>
            <w:r w:rsidRPr="008C0CAC">
              <w:rPr>
                <w:szCs w:val="24"/>
              </w:rPr>
              <w:t>.</w:t>
            </w:r>
            <w:r w:rsidR="00DD63A5">
              <w:rPr>
                <w:szCs w:val="24"/>
              </w:rPr>
              <w:t>0</w:t>
            </w:r>
            <w:r w:rsidR="008C2C2F">
              <w:rPr>
                <w:szCs w:val="24"/>
              </w:rPr>
              <w:t>6</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FD5E2A">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FD5E2A" w:rsidRPr="00FD5E2A">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D5E2A">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D5E2A">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125D03" w:rsidRPr="00125D03">
        <w:rPr>
          <w:rFonts w:eastAsia="Times New Roman"/>
          <w:bCs/>
          <w:iCs/>
          <w:sz w:val="24"/>
          <w:szCs w:val="24"/>
          <w:lang w:eastAsia="ru-RU"/>
        </w:rPr>
        <w:t xml:space="preserve">пищевого технологического и холодильного оборудования, переносного ручного </w:t>
      </w:r>
      <w:r w:rsidR="009A2402" w:rsidRPr="009A2402">
        <w:rPr>
          <w:rFonts w:eastAsia="Times New Roman"/>
          <w:bCs/>
          <w:iCs/>
          <w:sz w:val="24"/>
          <w:szCs w:val="24"/>
          <w:lang w:eastAsia="ru-RU"/>
        </w:rPr>
        <w:t>электрооборудования</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7C7931">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 xml:space="preserve">на </w:t>
      </w:r>
      <w:r w:rsidRPr="00313EAA">
        <w:rPr>
          <w:rFonts w:eastAsia="Times New Roman"/>
          <w:iCs/>
          <w:color w:val="222222"/>
          <w:sz w:val="24"/>
          <w:szCs w:val="24"/>
          <w:lang w:eastAsia="ru-RU"/>
        </w:rPr>
        <w:lastRenderedPageBreak/>
        <w:t>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w:t>
      </w:r>
      <w:r w:rsidRPr="00313EAA">
        <w:rPr>
          <w:rFonts w:eastAsia="Times New Roman"/>
          <w:sz w:val="24"/>
          <w:szCs w:val="24"/>
          <w:lang w:eastAsia="ru-RU"/>
        </w:rPr>
        <w:lastRenderedPageBreak/>
        <w:t xml:space="preserve">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w:t>
      </w:r>
      <w:r w:rsidRPr="00313EAA">
        <w:rPr>
          <w:rFonts w:eastAsia="Times New Roman"/>
          <w:sz w:val="24"/>
          <w:szCs w:val="24"/>
          <w:lang w:eastAsia="ru-RU"/>
        </w:rPr>
        <w:lastRenderedPageBreak/>
        <w:t>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313EAA">
        <w:rPr>
          <w:rFonts w:eastAsia="Times New Roman"/>
          <w:sz w:val="24"/>
          <w:szCs w:val="24"/>
          <w:lang w:eastAsia="ru-RU"/>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 xml:space="preserve">оставку </w:t>
      </w:r>
      <w:r w:rsidR="008773E9" w:rsidRPr="008773E9">
        <w:rPr>
          <w:rFonts w:eastAsia="Times New Roman"/>
          <w:b/>
          <w:sz w:val="24"/>
          <w:szCs w:val="24"/>
          <w:lang w:eastAsia="ru-RU"/>
        </w:rPr>
        <w:t>пищевого технологического и холодильного оборудования</w:t>
      </w:r>
      <w:r w:rsidR="009A2402" w:rsidRPr="009A2402">
        <w:rPr>
          <w:rFonts w:eastAsia="Times New Roman"/>
          <w:b/>
          <w:sz w:val="24"/>
          <w:szCs w:val="24"/>
          <w:lang w:eastAsia="ru-RU"/>
        </w:rPr>
        <w:t xml:space="preserve">, переносного ручного электрооборудования </w:t>
      </w:r>
      <w:r w:rsidR="008773E9" w:rsidRPr="008773E9">
        <w:rPr>
          <w:rFonts w:eastAsia="Times New Roman"/>
          <w:b/>
          <w:sz w:val="24"/>
          <w:szCs w:val="24"/>
          <w:lang w:eastAsia="ru-RU"/>
        </w:rPr>
        <w:t xml:space="preserve">для АН ДОО "Алмазик"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9913" w:type="dxa"/>
        <w:tblLayout w:type="fixed"/>
        <w:tblLook w:val="04A0" w:firstRow="1" w:lastRow="0" w:firstColumn="1" w:lastColumn="0" w:noHBand="0" w:noVBand="1"/>
      </w:tblPr>
      <w:tblGrid>
        <w:gridCol w:w="458"/>
        <w:gridCol w:w="5202"/>
        <w:gridCol w:w="675"/>
        <w:gridCol w:w="774"/>
        <w:gridCol w:w="1180"/>
        <w:gridCol w:w="1624"/>
      </w:tblGrid>
      <w:tr w:rsidR="00663B1A" w:rsidRPr="00CE07B9" w:rsidTr="000920E0">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663B1A" w:rsidRPr="00CE07B9" w:rsidTr="000920E0">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0920E0">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355KX</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spacing w:before="0"/>
              <w:jc w:val="right"/>
              <w:rPr>
                <w:rFonts w:eastAsia="Times New Roman"/>
                <w:color w:val="000000"/>
                <w:sz w:val="24"/>
                <w:szCs w:val="22"/>
              </w:rPr>
            </w:pPr>
          </w:p>
        </w:tc>
        <w:tc>
          <w:tcPr>
            <w:tcW w:w="1624" w:type="dxa"/>
            <w:tcBorders>
              <w:top w:val="single" w:sz="4" w:space="0" w:color="auto"/>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210KО</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109</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542</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Шкаф - витрина с динамической системой охлаждения и электронным управлением с глухой дверью Бирюса 460KDNQ</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Двухкамерный холодильник с электронным управлением Бирюса 360NF</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7</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Парогенератор Tefal Liberty SV6140</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23</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40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8</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sz w:val="24"/>
                <w:szCs w:val="24"/>
                <w:lang w:eastAsia="ru-RU"/>
              </w:rPr>
            </w:pPr>
            <w:r w:rsidRPr="00CE07B9">
              <w:rPr>
                <w:rFonts w:eastAsia="Times New Roman"/>
                <w:sz w:val="24"/>
                <w:szCs w:val="24"/>
                <w:lang w:eastAsia="ru-RU"/>
              </w:rPr>
              <w:t>Профессиональный пылесос для сухой уборки COLUMBUS ST7</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24</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9</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Columbus ST7 (7литр.)</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1000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10</w:t>
            </w:r>
          </w:p>
        </w:tc>
        <w:tc>
          <w:tcPr>
            <w:tcW w:w="5202" w:type="dxa"/>
            <w:tcBorders>
              <w:top w:val="nil"/>
              <w:left w:val="nil"/>
              <w:bottom w:val="single" w:sz="4" w:space="0" w:color="auto"/>
              <w:right w:val="single" w:sz="4" w:space="0" w:color="auto"/>
            </w:tcBorders>
            <w:shd w:val="clear" w:color="auto" w:fill="auto"/>
            <w:hideMark/>
          </w:tcPr>
          <w:p w:rsidR="00663B1A" w:rsidRPr="00CE07B9" w:rsidRDefault="00663B1A" w:rsidP="000920E0">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ARNICA Karayel (BK14)</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500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11</w:t>
            </w:r>
          </w:p>
        </w:tc>
        <w:tc>
          <w:tcPr>
            <w:tcW w:w="5202" w:type="dxa"/>
            <w:tcBorders>
              <w:top w:val="nil"/>
              <w:left w:val="nil"/>
              <w:bottom w:val="single" w:sz="4" w:space="0" w:color="auto"/>
              <w:right w:val="single" w:sz="4" w:space="0" w:color="auto"/>
            </w:tcBorders>
            <w:shd w:val="clear" w:color="auto" w:fill="auto"/>
            <w:hideMark/>
          </w:tcPr>
          <w:p w:rsidR="00663B1A" w:rsidRPr="00CE07B9" w:rsidRDefault="00663B1A" w:rsidP="000920E0">
            <w:pPr>
              <w:spacing w:before="0"/>
              <w:jc w:val="left"/>
              <w:rPr>
                <w:rFonts w:eastAsia="Times New Roman"/>
                <w:sz w:val="24"/>
                <w:szCs w:val="24"/>
                <w:lang w:eastAsia="ru-RU"/>
              </w:rPr>
            </w:pPr>
            <w:r w:rsidRPr="00CE07B9">
              <w:rPr>
                <w:rFonts w:eastAsia="Times New Roman"/>
                <w:sz w:val="24"/>
                <w:szCs w:val="24"/>
                <w:lang w:eastAsia="ru-RU"/>
              </w:rPr>
              <w:t>Стиральная машина Daewoo Electronics WMD-R912D1B c максимальной нагрузкой 9 кг</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sz w:val="24"/>
                <w:szCs w:val="24"/>
                <w:lang w:eastAsia="ru-RU"/>
              </w:rPr>
            </w:pPr>
            <w:r w:rsidRPr="00CE07B9">
              <w:rPr>
                <w:rFonts w:eastAsia="Times New Roman"/>
                <w:sz w:val="24"/>
                <w:szCs w:val="24"/>
                <w:lang w:eastAsia="ru-RU"/>
              </w:rPr>
              <w:t>Кипятильник Дебис КНЭ-100-01 нержавейка</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13</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4"/>
                <w:szCs w:val="24"/>
                <w:lang w:eastAsia="ru-RU"/>
              </w:rPr>
            </w:pPr>
            <w:r w:rsidRPr="00CE07B9">
              <w:rPr>
                <w:rFonts w:eastAsia="Times New Roman"/>
                <w:color w:val="000000"/>
                <w:sz w:val="24"/>
                <w:szCs w:val="24"/>
                <w:lang w:eastAsia="ru-RU"/>
              </w:rPr>
              <w:t>Весы МТ 6 МДА (1/2; 340х230) "Базар"</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14</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2"/>
                <w:szCs w:val="22"/>
                <w:lang w:eastAsia="ru-RU"/>
              </w:rPr>
            </w:pPr>
            <w:r w:rsidRPr="00CE07B9">
              <w:rPr>
                <w:rFonts w:eastAsia="Times New Roman"/>
                <w:color w:val="000000"/>
                <w:sz w:val="22"/>
                <w:szCs w:val="22"/>
                <w:lang w:eastAsia="ru-RU"/>
              </w:rPr>
              <w:t>Весы ВЭТ-150-2С со стойкой</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15</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left"/>
              <w:rPr>
                <w:rFonts w:eastAsia="Times New Roman"/>
                <w:color w:val="000000"/>
                <w:sz w:val="22"/>
                <w:szCs w:val="22"/>
                <w:lang w:eastAsia="ru-RU"/>
              </w:rPr>
            </w:pPr>
            <w:r w:rsidRPr="00CE07B9">
              <w:rPr>
                <w:rFonts w:eastAsia="Times New Roman"/>
                <w:color w:val="000000"/>
                <w:sz w:val="22"/>
                <w:szCs w:val="22"/>
                <w:lang w:eastAsia="ru-RU"/>
              </w:rPr>
              <w:t>Электромеханическая швейная машина Janome 5500</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63B1A" w:rsidRPr="00CE07B9" w:rsidRDefault="00663B1A" w:rsidP="000920E0">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0920E0">
            <w:pPr>
              <w:jc w:val="lef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0920E0">
            <w:pPr>
              <w:jc w:val="right"/>
              <w:rPr>
                <w:b/>
                <w:color w:val="000000"/>
                <w:sz w:val="24"/>
                <w:szCs w:val="22"/>
              </w:rPr>
            </w:pPr>
          </w:p>
        </w:tc>
      </w:tr>
      <w:tr w:rsidR="00663B1A" w:rsidRPr="00CE07B9" w:rsidTr="00663B1A">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63B1A" w:rsidRPr="00CE07B9" w:rsidRDefault="00663B1A" w:rsidP="000920E0">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663B1A" w:rsidRPr="00CE07B9" w:rsidRDefault="00663B1A" w:rsidP="000920E0">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tcPr>
          <w:p w:rsidR="00663B1A" w:rsidRPr="00CE07B9" w:rsidRDefault="00663B1A" w:rsidP="000920E0">
            <w:pPr>
              <w:spacing w:before="0"/>
              <w:jc w:val="center"/>
              <w:rPr>
                <w:rFonts w:eastAsia="Times New Roman"/>
                <w:color w:val="000000"/>
                <w:sz w:val="24"/>
                <w:szCs w:val="24"/>
                <w:lang w:eastAsia="ru-RU"/>
              </w:rPr>
            </w:pPr>
          </w:p>
        </w:tc>
        <w:tc>
          <w:tcPr>
            <w:tcW w:w="1624" w:type="dxa"/>
            <w:tcBorders>
              <w:top w:val="nil"/>
              <w:left w:val="nil"/>
              <w:bottom w:val="single" w:sz="8" w:space="0" w:color="auto"/>
              <w:right w:val="single" w:sz="4" w:space="0" w:color="auto"/>
            </w:tcBorders>
            <w:shd w:val="clear" w:color="auto" w:fill="auto"/>
            <w:noWrap/>
            <w:vAlign w:val="bottom"/>
          </w:tcPr>
          <w:p w:rsidR="00663B1A" w:rsidRPr="00CE07B9" w:rsidRDefault="00663B1A" w:rsidP="000920E0">
            <w:pPr>
              <w:spacing w:before="0"/>
              <w:jc w:val="right"/>
              <w:rPr>
                <w:rFonts w:eastAsia="Times New Roman"/>
                <w:b/>
                <w:bCs/>
                <w:color w:val="000000"/>
                <w:sz w:val="24"/>
                <w:szCs w:val="24"/>
                <w:lang w:eastAsia="ru-RU"/>
              </w:rPr>
            </w:pPr>
          </w:p>
        </w:tc>
      </w:tr>
    </w:tbl>
    <w:p w:rsidR="0096532F" w:rsidRDefault="0096532F" w:rsidP="00EF70FD"/>
    <w:p w:rsidR="00650B5C" w:rsidRDefault="00650B5C" w:rsidP="00EF70FD"/>
    <w:p w:rsidR="00650B5C" w:rsidRDefault="00650B5C" w:rsidP="00EF70FD"/>
    <w:p w:rsidR="00650B5C" w:rsidRDefault="00650B5C" w:rsidP="00EF70FD"/>
    <w:p w:rsidR="00650B5C" w:rsidRDefault="00650B5C" w:rsidP="00EF70FD"/>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Техническое задание на поставку пищевого технологического и холодильного оборудования, переносного ручного электрооборудования для АН ДОО «Алмазик».</w:t>
      </w:r>
    </w:p>
    <w:p w:rsidR="00650B5C" w:rsidRPr="00650B5C" w:rsidRDefault="00650B5C" w:rsidP="00650B5C">
      <w:pPr>
        <w:spacing w:before="0" w:after="160" w:line="259" w:lineRule="auto"/>
        <w:jc w:val="center"/>
        <w:rPr>
          <w:rFonts w:eastAsia="Calibri"/>
          <w:sz w:val="24"/>
          <w:szCs w:val="24"/>
        </w:rPr>
      </w:pPr>
      <w:r w:rsidRPr="00650B5C">
        <w:rPr>
          <w:rFonts w:eastAsia="Calibri"/>
          <w:sz w:val="24"/>
          <w:szCs w:val="24"/>
        </w:rPr>
        <w:t>Необходимо оказать услуги по поставке технологического оборудования для нужд детских садов АН ДОО Алмазик при выполнении следующих условий:</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Срок поставки до 15.07.2021г.</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Технические характеристики и количество приобретаемого оборудования указано в приложении 1.</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 xml:space="preserve">Наличие сертификатов соответствия обязательно (в т.ч. гигиенических).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Доставка товара: г. Мирный Саха (Якутия), ул. 50 лет Октября (р-он метеостанции) склад АН ДОО «Алмазик».</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Поставщик предоставляет гарантию на все поставляемое оборудование сроком на 1 (один) год и осуществляет гарантийное обслуживание.</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 xml:space="preserve">Поставляемый товар должен быть новым, выпущенным не ранее 2020 года, ранее неиспользованным.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 xml:space="preserve">Приложение 1 </w:t>
      </w:r>
    </w:p>
    <w:p w:rsidR="00650B5C" w:rsidRPr="00650B5C" w:rsidRDefault="00650B5C" w:rsidP="00650B5C">
      <w:pPr>
        <w:spacing w:before="0"/>
        <w:jc w:val="right"/>
        <w:rPr>
          <w:rFonts w:eastAsia="Calibri"/>
          <w:sz w:val="20"/>
          <w:szCs w:val="20"/>
        </w:rPr>
      </w:pPr>
      <w:r w:rsidRPr="00650B5C">
        <w:rPr>
          <w:rFonts w:eastAsia="Calibri"/>
          <w:sz w:val="20"/>
          <w:szCs w:val="20"/>
        </w:rPr>
        <w:t xml:space="preserve">к техническому заданию </w:t>
      </w:r>
    </w:p>
    <w:p w:rsidR="00650B5C" w:rsidRPr="00650B5C" w:rsidRDefault="00650B5C" w:rsidP="00650B5C">
      <w:pPr>
        <w:spacing w:before="0"/>
        <w:jc w:val="right"/>
        <w:rPr>
          <w:rFonts w:eastAsia="Calibri"/>
          <w:sz w:val="20"/>
          <w:szCs w:val="20"/>
        </w:rPr>
      </w:pPr>
      <w:r w:rsidRPr="00650B5C">
        <w:rPr>
          <w:rFonts w:eastAsia="Calibri"/>
          <w:sz w:val="20"/>
          <w:szCs w:val="20"/>
        </w:rPr>
        <w:t>на поставку технологического оборудования</w:t>
      </w:r>
    </w:p>
    <w:p w:rsidR="00650B5C" w:rsidRPr="00650B5C" w:rsidRDefault="00650B5C" w:rsidP="00650B5C">
      <w:pPr>
        <w:spacing w:before="0"/>
        <w:jc w:val="right"/>
        <w:rPr>
          <w:rFonts w:eastAsia="Calibri"/>
          <w:sz w:val="24"/>
          <w:szCs w:val="24"/>
        </w:rPr>
      </w:pPr>
    </w:p>
    <w:tbl>
      <w:tblPr>
        <w:tblW w:w="10196" w:type="dxa"/>
        <w:tblLayout w:type="fixed"/>
        <w:tblLook w:val="04A0" w:firstRow="1" w:lastRow="0" w:firstColumn="1" w:lastColumn="0" w:noHBand="0" w:noVBand="1"/>
      </w:tblPr>
      <w:tblGrid>
        <w:gridCol w:w="458"/>
        <w:gridCol w:w="2084"/>
        <w:gridCol w:w="1652"/>
        <w:gridCol w:w="653"/>
        <w:gridCol w:w="714"/>
        <w:gridCol w:w="2466"/>
        <w:gridCol w:w="2169"/>
      </w:tblGrid>
      <w:tr w:rsidR="00650B5C" w:rsidRPr="00650B5C" w:rsidTr="00563D18">
        <w:trPr>
          <w:trHeight w:val="315"/>
          <w:tblHeader/>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Наименование</w:t>
            </w:r>
          </w:p>
        </w:tc>
        <w:tc>
          <w:tcPr>
            <w:tcW w:w="7654" w:type="dxa"/>
            <w:gridSpan w:val="5"/>
            <w:tcBorders>
              <w:top w:val="single" w:sz="8" w:space="0" w:color="auto"/>
              <w:left w:val="nil"/>
              <w:bottom w:val="single" w:sz="4" w:space="0" w:color="auto"/>
              <w:right w:val="single" w:sz="8" w:space="0" w:color="000000"/>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650B5C" w:rsidRPr="00650B5C" w:rsidTr="00563D18">
        <w:trPr>
          <w:trHeight w:val="1200"/>
          <w:tblHeader/>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b/>
                <w:bCs/>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b/>
                <w:bCs/>
                <w:color w:val="000000"/>
                <w:sz w:val="24"/>
                <w:szCs w:val="24"/>
                <w:lang w:eastAsia="ru-RU"/>
              </w:rPr>
            </w:pPr>
          </w:p>
        </w:tc>
        <w:tc>
          <w:tcPr>
            <w:tcW w:w="1652"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Модель</w:t>
            </w:r>
          </w:p>
        </w:tc>
        <w:tc>
          <w:tcPr>
            <w:tcW w:w="653"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Ед. изм.</w:t>
            </w:r>
          </w:p>
        </w:tc>
        <w:tc>
          <w:tcPr>
            <w:tcW w:w="71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Кол-во</w:t>
            </w: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Наименование показателя, технического, функционального параметра, ед.изм. показателя</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Описание, значение</w:t>
            </w:r>
          </w:p>
        </w:tc>
      </w:tr>
      <w:tr w:rsidR="00650B5C" w:rsidRPr="00650B5C" w:rsidTr="00563D18">
        <w:trPr>
          <w:trHeight w:val="94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Морозильный ларь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Бирюса Б-355KX с глухой крышкой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морозильный ларь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Внутренний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330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Стеклянная крышка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547.5 кВтч/год</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замораживания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 кг/сутки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ручное</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Минимальная температура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-18</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111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подвесных корзин</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 шт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120,5/81,5/66,5см; 41кг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129,2/86/72,7см</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Морозильный ларь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Бирюса Б-210KО с глухой крышкой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морозильный ларь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Внутренний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Стеклянная крышка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401,5 кВтч/год</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замораживания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17 кг/сутки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ручное</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Минимальная температура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-18</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подвесных корзин</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 шт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93,5/81,5/54,5см; 32кг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102/86/60см</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Однокомпрессорный холодильник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109</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1-но камерный холодильник</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115 л</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Полезный объем холодильника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0,47 кВт*ч/24 часа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от 0 до 8 °C</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86,5/48/60,5см; 23кг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96/52,5/64,5см</w:t>
            </w:r>
          </w:p>
        </w:tc>
      </w:tr>
      <w:tr w:rsidR="00650B5C" w:rsidRPr="00650B5C" w:rsidTr="00563D18">
        <w:trPr>
          <w:trHeight w:val="630"/>
        </w:trPr>
        <w:tc>
          <w:tcPr>
            <w:tcW w:w="458" w:type="dxa"/>
            <w:vMerge w:val="restart"/>
            <w:tcBorders>
              <w:top w:val="nil"/>
              <w:left w:val="single" w:sz="8" w:space="0" w:color="auto"/>
              <w:bottom w:val="nil"/>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Однокомпрессорный холодильник без низкотемператур</w:t>
            </w:r>
            <w:r w:rsidRPr="00650B5C">
              <w:rPr>
                <w:rFonts w:eastAsia="Times New Roman"/>
                <w:color w:val="000000"/>
                <w:sz w:val="24"/>
                <w:szCs w:val="24"/>
                <w:lang w:eastAsia="ru-RU"/>
              </w:rPr>
              <w:lastRenderedPageBreak/>
              <w:t xml:space="preserve">ного отделения (без морозилки)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Бирюса 542</w:t>
            </w:r>
          </w:p>
        </w:tc>
        <w:tc>
          <w:tcPr>
            <w:tcW w:w="653"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1-но камерный холодильник</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295 л</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Полезный объем холодильника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275 л</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0,46 кВт*ч/24 часа</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от 0 до 8 °C</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107 Вт</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145/60/62,5см; 41кг</w:t>
            </w:r>
          </w:p>
        </w:tc>
      </w:tr>
      <w:tr w:rsidR="00650B5C" w:rsidRPr="00650B5C" w:rsidTr="00563D18">
        <w:trPr>
          <w:trHeight w:val="64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nil"/>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152/66/69см</w:t>
            </w:r>
          </w:p>
        </w:tc>
      </w:tr>
      <w:tr w:rsidR="00650B5C" w:rsidRPr="00650B5C" w:rsidTr="00563D18">
        <w:trPr>
          <w:trHeight w:val="630"/>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Шкаф - витрина с динамической системой охлаждения и электронным управлением с глухой дверью </w:t>
            </w:r>
          </w:p>
        </w:tc>
        <w:tc>
          <w:tcPr>
            <w:tcW w:w="165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460KDNQ</w:t>
            </w:r>
          </w:p>
        </w:tc>
        <w:tc>
          <w:tcPr>
            <w:tcW w:w="65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c>
          <w:tcPr>
            <w:tcW w:w="2466" w:type="dxa"/>
            <w:tcBorders>
              <w:top w:val="single" w:sz="8" w:space="0" w:color="auto"/>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single" w:sz="8" w:space="0" w:color="auto"/>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шкаф-витрина</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двери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глухая дверь</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455 л</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 кВт*ч/24 часа</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-6 до +6 °C</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250 Вт</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198/67/69см; 68кг</w:t>
            </w:r>
          </w:p>
        </w:tc>
      </w:tr>
      <w:tr w:rsidR="00650B5C" w:rsidRPr="00650B5C" w:rsidTr="00563D18">
        <w:trPr>
          <w:trHeight w:val="64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200/73/73см</w:t>
            </w:r>
          </w:p>
        </w:tc>
      </w:tr>
      <w:tr w:rsidR="00650B5C" w:rsidRPr="00650B5C" w:rsidTr="00563D18">
        <w:trPr>
          <w:trHeight w:val="94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Двухкамерный холодильник с электронным управлением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360NF</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2-х камерный холодильник</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Холодильная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холодильной камеры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240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0 до 8 °C</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Дверные корзины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камеры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Температура хранения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 более -18 °C</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отделений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 выдвижных ящика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1,03 кВт*ч/24 часа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110 Вт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190/60/62,5см; 61кг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198/66/69см</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Парогенератор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Tefal Liberty SV6140</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2200 Вт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резервуара для воды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1.8 л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Рабочее давление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6 бар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Регулируемая подача пара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Паровой удар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380 г/мин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Длина сетевого шнура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1.7 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Автоотключение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39/29,2/21см; 3,16кг</w:t>
            </w:r>
          </w:p>
        </w:tc>
      </w:tr>
      <w:tr w:rsidR="00650B5C" w:rsidRPr="00650B5C" w:rsidTr="00563D18">
        <w:trPr>
          <w:trHeight w:val="382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8</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Профессиональный пылесос для сухой уборки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COLUMBUS ST7</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Комплект поставки: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0"/>
                <w:szCs w:val="20"/>
                <w:lang w:eastAsia="ru-RU"/>
              </w:rPr>
            </w:pPr>
            <w:r w:rsidRPr="00650B5C">
              <w:rPr>
                <w:rFonts w:eastAsia="Times New Roman"/>
                <w:color w:val="000000"/>
                <w:sz w:val="20"/>
                <w:szCs w:val="20"/>
                <w:lang w:eastAsia="ru-RU"/>
              </w:rPr>
              <w:t>Шланг (2 м, Ø 32 мм).</w:t>
            </w:r>
            <w:r w:rsidRPr="00650B5C">
              <w:rPr>
                <w:rFonts w:eastAsia="Times New Roman"/>
                <w:color w:val="000000"/>
                <w:sz w:val="20"/>
                <w:szCs w:val="20"/>
                <w:lang w:eastAsia="ru-RU"/>
              </w:rPr>
              <w:br/>
              <w:t>Удлинительная трубка (2 шт., Ø 32 мм).</w:t>
            </w:r>
            <w:r w:rsidRPr="00650B5C">
              <w:rPr>
                <w:rFonts w:eastAsia="Times New Roman"/>
                <w:color w:val="000000"/>
                <w:sz w:val="20"/>
                <w:szCs w:val="20"/>
                <w:lang w:eastAsia="ru-RU"/>
              </w:rPr>
              <w:br/>
              <w:t xml:space="preserve"> Изогнутая рукоятка (Ø 32 мм).</w:t>
            </w:r>
            <w:r w:rsidRPr="00650B5C">
              <w:rPr>
                <w:rFonts w:eastAsia="Times New Roman"/>
                <w:color w:val="000000"/>
                <w:sz w:val="20"/>
                <w:szCs w:val="20"/>
                <w:lang w:eastAsia="ru-RU"/>
              </w:rPr>
              <w:br/>
              <w:t>- Кабель (10 м).</w:t>
            </w:r>
            <w:r w:rsidRPr="00650B5C">
              <w:rPr>
                <w:rFonts w:eastAsia="Times New Roman"/>
                <w:color w:val="000000"/>
                <w:sz w:val="20"/>
                <w:szCs w:val="20"/>
                <w:lang w:eastAsia="ru-RU"/>
              </w:rPr>
              <w:br/>
              <w:t xml:space="preserve"> Флисовый фильтр-мешок (1 шт.).</w:t>
            </w:r>
            <w:r w:rsidRPr="00650B5C">
              <w:rPr>
                <w:rFonts w:eastAsia="Times New Roman"/>
                <w:color w:val="000000"/>
                <w:sz w:val="20"/>
                <w:szCs w:val="20"/>
                <w:lang w:eastAsia="ru-RU"/>
              </w:rPr>
              <w:br/>
              <w:t>Мешок-корзина для мусора (1 шт.).</w:t>
            </w:r>
            <w:r w:rsidRPr="00650B5C">
              <w:rPr>
                <w:rFonts w:eastAsia="Times New Roman"/>
                <w:color w:val="000000"/>
                <w:sz w:val="20"/>
                <w:szCs w:val="20"/>
                <w:lang w:eastAsia="ru-RU"/>
              </w:rPr>
              <w:br/>
              <w:t xml:space="preserve"> Универсальная насадка для пола (270 мм).</w:t>
            </w:r>
            <w:r w:rsidRPr="00650B5C">
              <w:rPr>
                <w:rFonts w:eastAsia="Times New Roman"/>
                <w:color w:val="000000"/>
                <w:sz w:val="20"/>
                <w:szCs w:val="20"/>
                <w:lang w:eastAsia="ru-RU"/>
              </w:rPr>
              <w:br/>
              <w:t xml:space="preserve"> Щелевая насадка.</w:t>
            </w:r>
            <w:r w:rsidRPr="00650B5C">
              <w:rPr>
                <w:rFonts w:eastAsia="Times New Roman"/>
                <w:color w:val="000000"/>
                <w:sz w:val="20"/>
                <w:szCs w:val="20"/>
                <w:lang w:eastAsia="ru-RU"/>
              </w:rPr>
              <w:br/>
              <w:t xml:space="preserve"> Насадка для мебели.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Расход воздуха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60л/с</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всасывания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290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Система сбора грязи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фильтр-мешок</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Вместимость мусоросборника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7л</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Max 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780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Длина кабеля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4.8кг</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Размеры (ДхШхВ)</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350х280х400мм</w:t>
            </w:r>
          </w:p>
        </w:tc>
      </w:tr>
      <w:tr w:rsidR="00650B5C" w:rsidRPr="00650B5C" w:rsidTr="00563D18">
        <w:trPr>
          <w:trHeight w:val="220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9</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Мешок-пылесборник для пылесоса Columbus ST7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1000</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Мешки для промышленных пылесосов, 3-х слойные, произведены из синтетического микроволокна</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 литров</w:t>
            </w:r>
          </w:p>
        </w:tc>
      </w:tr>
      <w:tr w:rsidR="00650B5C" w:rsidRPr="00650B5C" w:rsidTr="00563D18">
        <w:trPr>
          <w:trHeight w:val="1905"/>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50B5C" w:rsidRPr="00650B5C" w:rsidRDefault="00650B5C" w:rsidP="00650B5C">
            <w:pPr>
              <w:spacing w:before="0"/>
              <w:jc w:val="right"/>
              <w:rPr>
                <w:rFonts w:eastAsia="Times New Roman"/>
                <w:color w:val="000000"/>
                <w:sz w:val="24"/>
                <w:szCs w:val="24"/>
                <w:lang w:eastAsia="ru-RU"/>
              </w:rPr>
            </w:pPr>
            <w:r w:rsidRPr="00650B5C">
              <w:rPr>
                <w:rFonts w:eastAsia="Times New Roman"/>
                <w:color w:val="000000"/>
                <w:sz w:val="24"/>
                <w:szCs w:val="24"/>
                <w:lang w:eastAsia="ru-RU"/>
              </w:rPr>
              <w:t>10</w:t>
            </w:r>
          </w:p>
        </w:tc>
        <w:tc>
          <w:tcPr>
            <w:tcW w:w="208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Мешок-пылесборник для пылесоса </w:t>
            </w:r>
          </w:p>
        </w:tc>
        <w:tc>
          <w:tcPr>
            <w:tcW w:w="1652"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ARNICA Karayel (BK14)</w:t>
            </w:r>
          </w:p>
        </w:tc>
        <w:tc>
          <w:tcPr>
            <w:tcW w:w="653"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500</w:t>
            </w: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Мешки для пылесосов, 5-и слойные, произведены из синтетического микроволокна</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Стиральная машина  c максимальной нагрузкой 9 кг</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Daewoo Electronics WMD-R912D1B</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загрузки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Фронтальная</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Загрузка для стирки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 кг</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Управление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электронное (интеллектуальное)</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Дисплей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Класс энергопотребления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программ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15,00</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Скорость отжима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1200 об/мин</w:t>
            </w:r>
          </w:p>
        </w:tc>
      </w:tr>
      <w:tr w:rsidR="00650B5C" w:rsidRPr="00650B5C" w:rsidTr="00563D18">
        <w:trPr>
          <w:trHeight w:val="441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Специальные программы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стирка деликатных тканей, экономичная стирка, предотвращение сминания, стирка спортивной одежды, программа стирки смешанных тканей, быстрая стирка, предварительная стирка, программа удаления пятен</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(Ш/Г/В)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60/58/85см</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74,3 кг</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Кипятильник  нержавейка</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Дебис КНЭ-100-01</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проточный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Производительность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л/ч</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380 В</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 кВт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(Ш/Г/В)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25/25/36см</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6,5 кг</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Весы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МТ 6 МДА (1/2; 340х230) "Базар"</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Наибольший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 кг</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Наименьший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 г</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Погрешность, дискрета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 г</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Размер платформы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230х330 мм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дисплея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Светодиодный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Материал платформы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Нержавейка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упаковки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38х37,5х13,5 см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 весов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3,4 кг</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Питание</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w:t>
            </w:r>
          </w:p>
        </w:tc>
      </w:tr>
      <w:tr w:rsidR="00650B5C" w:rsidRPr="00650B5C" w:rsidTr="00563D18">
        <w:trPr>
          <w:trHeight w:val="630"/>
        </w:trPr>
        <w:tc>
          <w:tcPr>
            <w:tcW w:w="458" w:type="dxa"/>
            <w:vMerge w:val="restart"/>
            <w:tcBorders>
              <w:top w:val="nil"/>
              <w:left w:val="single" w:sz="8" w:space="0" w:color="auto"/>
              <w:bottom w:val="nil"/>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14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 xml:space="preserve">Весы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ВЭТ-150-2С со стойкой</w:t>
            </w:r>
          </w:p>
        </w:tc>
        <w:tc>
          <w:tcPr>
            <w:tcW w:w="653"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Рабочий диапазон температур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-10 до +40°C</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Наибольший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150 кг.</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Наименьший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0,5 кг</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Точность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50 г.</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дисплея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Светодиодный</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Стойка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520х615х160 мм</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 весов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5,74 кг</w:t>
            </w:r>
          </w:p>
        </w:tc>
      </w:tr>
      <w:tr w:rsidR="00650B5C" w:rsidRPr="00650B5C" w:rsidTr="00563D18">
        <w:trPr>
          <w:trHeight w:val="64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Источники питания</w:t>
            </w:r>
          </w:p>
        </w:tc>
        <w:tc>
          <w:tcPr>
            <w:tcW w:w="2169" w:type="dxa"/>
            <w:tcBorders>
              <w:top w:val="nil"/>
              <w:left w:val="nil"/>
              <w:bottom w:val="nil"/>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электросеть, аккумулятор</w:t>
            </w:r>
          </w:p>
        </w:tc>
      </w:tr>
      <w:tr w:rsidR="00650B5C" w:rsidRPr="00650B5C" w:rsidTr="00563D18">
        <w:trPr>
          <w:trHeight w:val="2205"/>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Электромеханическая швейная машина</w:t>
            </w:r>
          </w:p>
        </w:tc>
        <w:tc>
          <w:tcPr>
            <w:tcW w:w="165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 xml:space="preserve"> Janome 5500</w:t>
            </w:r>
          </w:p>
        </w:tc>
        <w:tc>
          <w:tcPr>
            <w:tcW w:w="65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36E6D"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p w:rsidR="00650B5C" w:rsidRPr="00C36E6D" w:rsidRDefault="00C36E6D" w:rsidP="00C36E6D">
            <w:pPr>
              <w:jc w:val="center"/>
              <w:rPr>
                <w:rFonts w:eastAsia="Times New Roman"/>
                <w:sz w:val="24"/>
                <w:szCs w:val="24"/>
                <w:lang w:eastAsia="ru-RU"/>
              </w:rPr>
            </w:pPr>
            <w:r>
              <w:rPr>
                <w:rFonts w:eastAsia="Times New Roman"/>
                <w:sz w:val="24"/>
                <w:szCs w:val="24"/>
                <w:lang w:eastAsia="ru-RU"/>
              </w:rPr>
              <w:t>3</w:t>
            </w:r>
          </w:p>
        </w:tc>
        <w:tc>
          <w:tcPr>
            <w:tcW w:w="2466" w:type="dxa"/>
            <w:tcBorders>
              <w:top w:val="single" w:sz="8" w:space="0" w:color="auto"/>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Комплектация</w:t>
            </w:r>
          </w:p>
        </w:tc>
        <w:tc>
          <w:tcPr>
            <w:tcW w:w="2169" w:type="dxa"/>
            <w:tcBorders>
              <w:top w:val="single" w:sz="8" w:space="0" w:color="auto"/>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left"/>
              <w:rPr>
                <w:rFonts w:eastAsia="Times New Roman"/>
                <w:color w:val="000000"/>
                <w:sz w:val="24"/>
                <w:szCs w:val="24"/>
                <w:lang w:eastAsia="ru-RU"/>
              </w:rPr>
            </w:pPr>
            <w:r w:rsidRPr="00650B5C">
              <w:rPr>
                <w:rFonts w:eastAsia="Times New Roman"/>
                <w:color w:val="000000"/>
                <w:sz w:val="24"/>
                <w:szCs w:val="24"/>
                <w:lang w:eastAsia="ru-RU"/>
              </w:rPr>
              <w:t>Вспарыватель швов</w:t>
            </w:r>
            <w:r w:rsidRPr="00650B5C">
              <w:rPr>
                <w:rFonts w:eastAsia="Times New Roman"/>
                <w:color w:val="000000"/>
                <w:sz w:val="24"/>
                <w:szCs w:val="24"/>
                <w:lang w:eastAsia="ru-RU"/>
              </w:rPr>
              <w:br/>
              <w:t>Иглы стандартные</w:t>
            </w:r>
            <w:r w:rsidRPr="00650B5C">
              <w:rPr>
                <w:rFonts w:eastAsia="Times New Roman"/>
                <w:color w:val="000000"/>
                <w:sz w:val="24"/>
                <w:szCs w:val="24"/>
                <w:lang w:eastAsia="ru-RU"/>
              </w:rPr>
              <w:br/>
              <w:t>Педаль</w:t>
            </w:r>
            <w:r w:rsidRPr="00650B5C">
              <w:rPr>
                <w:rFonts w:eastAsia="Times New Roman"/>
                <w:color w:val="000000"/>
                <w:sz w:val="24"/>
                <w:szCs w:val="24"/>
                <w:lang w:eastAsia="ru-RU"/>
              </w:rPr>
              <w:br/>
              <w:t>Руководство по эксплуатации</w:t>
            </w:r>
            <w:r w:rsidRPr="00650B5C">
              <w:rPr>
                <w:rFonts w:eastAsia="Times New Roman"/>
                <w:color w:val="000000"/>
                <w:sz w:val="24"/>
                <w:szCs w:val="24"/>
                <w:lang w:eastAsia="ru-RU"/>
              </w:rPr>
              <w:br/>
              <w:t>Шпульки</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Виды петель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прямая бельевая, стандартная</w:t>
            </w:r>
          </w:p>
        </w:tc>
      </w:tr>
      <w:tr w:rsidR="00650B5C" w:rsidRPr="00650B5C" w:rsidTr="00563D18">
        <w:trPr>
          <w:trHeight w:val="5688"/>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Виды строчек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left"/>
              <w:rPr>
                <w:rFonts w:eastAsia="Times New Roman"/>
                <w:color w:val="000000"/>
                <w:sz w:val="24"/>
                <w:szCs w:val="24"/>
                <w:lang w:eastAsia="ru-RU"/>
              </w:rPr>
            </w:pPr>
            <w:r w:rsidRPr="00650B5C">
              <w:rPr>
                <w:rFonts w:eastAsia="Times New Roman"/>
                <w:color w:val="000000"/>
                <w:sz w:val="24"/>
                <w:szCs w:val="24"/>
                <w:lang w:eastAsia="ru-RU"/>
              </w:rPr>
              <w:t>гофрированная строчка, зигзаг, оверлочная строчка, потайная строчка, прямая строчка (левое положение иглы), прямая строчка (центральное положение иглы), пунктирная строчка, рабочие строчки, соединительная строчка, трикотажные строчки, трикотажный зигзаг, штопка, эластичная строчка для пришивания резинки, эластичный зигзаг</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длина стежка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 мм</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скорость шитья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600 ст/мин</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85 Вт</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ширина строчки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 мм</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5,8 кг</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изделия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21 х 45 х 30 см</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операций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w:t>
            </w:r>
          </w:p>
        </w:tc>
      </w:tr>
      <w:tr w:rsidR="00650B5C" w:rsidRPr="00650B5C" w:rsidTr="00563D18">
        <w:trPr>
          <w:trHeight w:val="64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управления</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электромеханический</w:t>
            </w:r>
          </w:p>
        </w:tc>
      </w:tr>
    </w:tbl>
    <w:p w:rsidR="00650B5C" w:rsidRDefault="00650B5C" w:rsidP="00EF70FD">
      <w:pPr>
        <w:sectPr w:rsidR="00650B5C" w:rsidSect="00563D18">
          <w:pgSz w:w="11906" w:h="16838"/>
          <w:pgMar w:top="1134" w:right="707" w:bottom="1134" w:left="1134" w:header="709" w:footer="709" w:gutter="0"/>
          <w:cols w:space="708"/>
          <w:docGrid w:linePitch="360"/>
        </w:sectPr>
      </w:pPr>
    </w:p>
    <w:p w:rsidR="00D52DDB" w:rsidRPr="0053364D" w:rsidRDefault="000C5172" w:rsidP="000C5172">
      <w:pPr>
        <w:keepNext/>
        <w:spacing w:before="240"/>
        <w:outlineLvl w:val="2"/>
        <w:rPr>
          <w:b/>
        </w:rPr>
      </w:pPr>
      <w:bookmarkStart w:id="332" w:name="_Toc67580156"/>
      <w:r>
        <w:rPr>
          <w:b/>
        </w:rPr>
        <w:lastRenderedPageBreak/>
        <w:t>ПРИЛОЖЕНИЕ 3</w:t>
      </w:r>
      <w:r w:rsidR="0026500B" w:rsidRPr="0053364D">
        <w:rPr>
          <w:b/>
        </w:rPr>
        <w:t>:</w:t>
      </w:r>
      <w:bookmarkEnd w:id="332"/>
    </w:p>
    <w:p w:rsidR="00D52DDB" w:rsidRDefault="00D52DDB" w:rsidP="008D0B02">
      <w:pPr>
        <w:keepNext/>
        <w:spacing w:before="240"/>
        <w:ind w:left="-426"/>
        <w:jc w:val="center"/>
        <w:outlineLvl w:val="2"/>
        <w:rPr>
          <w:b/>
        </w:rPr>
      </w:pPr>
      <w:bookmarkStart w:id="333"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3"/>
    </w:p>
    <w:tbl>
      <w:tblPr>
        <w:tblW w:w="9913" w:type="dxa"/>
        <w:tblLayout w:type="fixed"/>
        <w:tblLook w:val="04A0" w:firstRow="1" w:lastRow="0" w:firstColumn="1" w:lastColumn="0" w:noHBand="0" w:noVBand="1"/>
      </w:tblPr>
      <w:tblGrid>
        <w:gridCol w:w="458"/>
        <w:gridCol w:w="5202"/>
        <w:gridCol w:w="675"/>
        <w:gridCol w:w="774"/>
        <w:gridCol w:w="1180"/>
        <w:gridCol w:w="1624"/>
      </w:tblGrid>
      <w:tr w:rsidR="00CE07B9" w:rsidRPr="00CE07B9" w:rsidTr="004A6FEB">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4A6FEB">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bookmarkStart w:id="334" w:name="_GoBack" w:colFirst="4" w:colLast="5"/>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355KX</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spacing w:before="0"/>
              <w:jc w:val="right"/>
              <w:rPr>
                <w:rFonts w:eastAsia="Times New Roman"/>
                <w:color w:val="000000"/>
                <w:sz w:val="24"/>
                <w:szCs w:val="22"/>
              </w:rPr>
            </w:pPr>
            <w:r w:rsidRPr="00FD5E2A">
              <w:rPr>
                <w:color w:val="000000"/>
                <w:sz w:val="24"/>
                <w:szCs w:val="22"/>
              </w:rPr>
              <w:t>32 935,00</w:t>
            </w:r>
          </w:p>
        </w:tc>
        <w:tc>
          <w:tcPr>
            <w:tcW w:w="1624" w:type="dxa"/>
            <w:tcBorders>
              <w:top w:val="single" w:sz="4" w:space="0" w:color="auto"/>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164 675,00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210KО</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24 659,00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98 636,00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109</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15 489,60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61 958,40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542</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20 847,70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83 390,80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Шкаф - витрина с динамической системой охлаждения и электронным управлением с глухой дверью Бирюса 460KDNQ</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37 961,30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75 922,60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Двухкамерный холодильник с электронным управлением Бирюса 360NF</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31 447,00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94 341,00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7</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Парогенератор Tefal Liberty SV6140</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23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10 717,80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246 509,40</w:t>
            </w:r>
          </w:p>
        </w:tc>
      </w:tr>
      <w:tr w:rsidR="00FD5E2A" w:rsidRPr="00CE07B9" w:rsidTr="00FD5E2A">
        <w:trPr>
          <w:trHeight w:val="40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8</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sz w:val="24"/>
                <w:szCs w:val="24"/>
                <w:lang w:eastAsia="ru-RU"/>
              </w:rPr>
            </w:pPr>
            <w:r w:rsidRPr="00CE07B9">
              <w:rPr>
                <w:rFonts w:eastAsia="Times New Roman"/>
                <w:sz w:val="24"/>
                <w:szCs w:val="24"/>
                <w:lang w:eastAsia="ru-RU"/>
              </w:rPr>
              <w:t>Профессиональный пылесос для сухой уборки COLUMBUS ST7</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24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18 155,00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435 720,00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9</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Columbus ST7 (7литр.)</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1000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93,48</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93 484,69</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10</w:t>
            </w:r>
          </w:p>
        </w:tc>
        <w:tc>
          <w:tcPr>
            <w:tcW w:w="5202" w:type="dxa"/>
            <w:tcBorders>
              <w:top w:val="nil"/>
              <w:left w:val="nil"/>
              <w:bottom w:val="single" w:sz="4" w:space="0" w:color="auto"/>
              <w:right w:val="single" w:sz="4" w:space="0" w:color="auto"/>
            </w:tcBorders>
            <w:shd w:val="clear" w:color="auto" w:fill="auto"/>
            <w:hideMark/>
          </w:tcPr>
          <w:p w:rsidR="00FD5E2A" w:rsidRPr="00CE07B9" w:rsidRDefault="00FD5E2A" w:rsidP="00FD5E2A">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ARNICA Karayel (BK14)</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500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263,30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131 650,00</w:t>
            </w:r>
          </w:p>
        </w:tc>
      </w:tr>
      <w:tr w:rsidR="00FD5E2A"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11</w:t>
            </w:r>
          </w:p>
        </w:tc>
        <w:tc>
          <w:tcPr>
            <w:tcW w:w="5202" w:type="dxa"/>
            <w:tcBorders>
              <w:top w:val="nil"/>
              <w:left w:val="nil"/>
              <w:bottom w:val="single" w:sz="4" w:space="0" w:color="auto"/>
              <w:right w:val="single" w:sz="4" w:space="0" w:color="auto"/>
            </w:tcBorders>
            <w:shd w:val="clear" w:color="auto" w:fill="auto"/>
            <w:hideMark/>
          </w:tcPr>
          <w:p w:rsidR="00FD5E2A" w:rsidRPr="00CE07B9" w:rsidRDefault="00FD5E2A" w:rsidP="00FD5E2A">
            <w:pPr>
              <w:spacing w:before="0"/>
              <w:jc w:val="left"/>
              <w:rPr>
                <w:rFonts w:eastAsia="Times New Roman"/>
                <w:sz w:val="24"/>
                <w:szCs w:val="24"/>
                <w:lang w:eastAsia="ru-RU"/>
              </w:rPr>
            </w:pPr>
            <w:r w:rsidRPr="00CE07B9">
              <w:rPr>
                <w:rFonts w:eastAsia="Times New Roman"/>
                <w:sz w:val="24"/>
                <w:szCs w:val="24"/>
                <w:lang w:eastAsia="ru-RU"/>
              </w:rPr>
              <w:t>Стиральная машина Daewoo Electronics WMD-R912D1B c максимальной нагрузкой 9 кг</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39 178,40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235 070,40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sz w:val="24"/>
                <w:szCs w:val="24"/>
                <w:lang w:eastAsia="ru-RU"/>
              </w:rPr>
            </w:pPr>
            <w:r w:rsidRPr="00CE07B9">
              <w:rPr>
                <w:rFonts w:eastAsia="Times New Roman"/>
                <w:sz w:val="24"/>
                <w:szCs w:val="24"/>
                <w:lang w:eastAsia="ru-RU"/>
              </w:rPr>
              <w:t>Кипятильник Дебис КНЭ-100-01 нержавейка</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16 680,80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50 042,40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13</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4"/>
                <w:szCs w:val="24"/>
                <w:lang w:eastAsia="ru-RU"/>
              </w:rPr>
            </w:pPr>
            <w:r w:rsidRPr="00CE07B9">
              <w:rPr>
                <w:rFonts w:eastAsia="Times New Roman"/>
                <w:color w:val="000000"/>
                <w:sz w:val="24"/>
                <w:szCs w:val="24"/>
                <w:lang w:eastAsia="ru-RU"/>
              </w:rPr>
              <w:t>Весы МТ 6 МДА (1/2; 340х230) "Базар"</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3 585,60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43 027,20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14</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2"/>
                <w:szCs w:val="22"/>
                <w:lang w:eastAsia="ru-RU"/>
              </w:rPr>
            </w:pPr>
            <w:r w:rsidRPr="00CE07B9">
              <w:rPr>
                <w:rFonts w:eastAsia="Times New Roman"/>
                <w:color w:val="000000"/>
                <w:sz w:val="22"/>
                <w:szCs w:val="22"/>
                <w:lang w:eastAsia="ru-RU"/>
              </w:rPr>
              <w:t>Весы ВЭТ-150-2С со стойкой</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9 450,60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28 351,80</w:t>
            </w:r>
          </w:p>
        </w:tc>
      </w:tr>
      <w:tr w:rsidR="00FD5E2A" w:rsidRPr="00CE07B9" w:rsidTr="00FD5E2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15</w:t>
            </w:r>
          </w:p>
        </w:tc>
        <w:tc>
          <w:tcPr>
            <w:tcW w:w="5202"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left"/>
              <w:rPr>
                <w:rFonts w:eastAsia="Times New Roman"/>
                <w:color w:val="000000"/>
                <w:sz w:val="22"/>
                <w:szCs w:val="22"/>
                <w:lang w:eastAsia="ru-RU"/>
              </w:rPr>
            </w:pPr>
            <w:r w:rsidRPr="00CE07B9">
              <w:rPr>
                <w:rFonts w:eastAsia="Times New Roman"/>
                <w:color w:val="000000"/>
                <w:sz w:val="22"/>
                <w:szCs w:val="22"/>
                <w:lang w:eastAsia="ru-RU"/>
              </w:rPr>
              <w:t>Электромеханическая швейная машина Janome 5500</w:t>
            </w:r>
          </w:p>
        </w:tc>
        <w:tc>
          <w:tcPr>
            <w:tcW w:w="675" w:type="dxa"/>
            <w:tcBorders>
              <w:top w:val="nil"/>
              <w:left w:val="nil"/>
              <w:bottom w:val="single" w:sz="4" w:space="0" w:color="auto"/>
              <w:right w:val="single" w:sz="4" w:space="0" w:color="auto"/>
            </w:tcBorders>
            <w:shd w:val="clear" w:color="auto" w:fill="auto"/>
            <w:vAlign w:val="center"/>
            <w:hideMark/>
          </w:tcPr>
          <w:p w:rsidR="00FD5E2A" w:rsidRPr="00CE07B9" w:rsidRDefault="00FD5E2A" w:rsidP="00FD5E2A">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FD5E2A" w:rsidRPr="00CE07B9" w:rsidRDefault="00FD5E2A" w:rsidP="00FD5E2A">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9 351,80</w:t>
            </w:r>
          </w:p>
        </w:tc>
        <w:tc>
          <w:tcPr>
            <w:tcW w:w="1624" w:type="dxa"/>
            <w:tcBorders>
              <w:top w:val="nil"/>
              <w:left w:val="nil"/>
              <w:bottom w:val="single" w:sz="4" w:space="0" w:color="auto"/>
              <w:right w:val="single" w:sz="4" w:space="0" w:color="auto"/>
            </w:tcBorders>
            <w:shd w:val="clear" w:color="auto" w:fill="auto"/>
            <w:noWrap/>
            <w:vAlign w:val="center"/>
            <w:hideMark/>
          </w:tcPr>
          <w:p w:rsidR="00FD5E2A" w:rsidRPr="00FD5E2A" w:rsidRDefault="00FD5E2A" w:rsidP="00FD5E2A">
            <w:pPr>
              <w:jc w:val="right"/>
              <w:rPr>
                <w:color w:val="000000"/>
                <w:sz w:val="24"/>
                <w:szCs w:val="22"/>
              </w:rPr>
            </w:pPr>
            <w:r w:rsidRPr="00FD5E2A">
              <w:rPr>
                <w:color w:val="000000"/>
                <w:sz w:val="24"/>
                <w:szCs w:val="22"/>
              </w:rPr>
              <w:t>28 055,40</w:t>
            </w:r>
          </w:p>
        </w:tc>
      </w:tr>
      <w:bookmarkEnd w:id="334"/>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63B1A" w:rsidRPr="00CE07B9" w:rsidRDefault="00663B1A" w:rsidP="00663B1A">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63B1A" w:rsidRPr="00663B1A" w:rsidRDefault="00663B1A" w:rsidP="00663B1A">
            <w:pPr>
              <w:jc w:val="left"/>
              <w:rPr>
                <w:color w:val="000000"/>
                <w:sz w:val="24"/>
                <w:szCs w:val="22"/>
              </w:rPr>
            </w:pPr>
            <w:r w:rsidRPr="00663B1A">
              <w:rPr>
                <w:color w:val="000000"/>
                <w:sz w:val="24"/>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rsidR="00663B1A" w:rsidRPr="00663B1A" w:rsidRDefault="00663B1A" w:rsidP="00663B1A">
            <w:pPr>
              <w:jc w:val="right"/>
              <w:rPr>
                <w:b/>
                <w:color w:val="000000"/>
                <w:sz w:val="24"/>
                <w:szCs w:val="22"/>
              </w:rPr>
            </w:pPr>
            <w:r w:rsidRPr="00663B1A">
              <w:rPr>
                <w:b/>
                <w:color w:val="000000"/>
                <w:sz w:val="24"/>
                <w:szCs w:val="22"/>
              </w:rPr>
              <w:t>1 870 835,09</w:t>
            </w:r>
          </w:p>
        </w:tc>
      </w:tr>
      <w:tr w:rsidR="00CE07B9" w:rsidRPr="00CE07B9" w:rsidTr="004A6FEB">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8" w:space="0" w:color="auto"/>
              <w:right w:val="single" w:sz="4" w:space="0" w:color="auto"/>
            </w:tcBorders>
            <w:shd w:val="clear" w:color="auto" w:fill="auto"/>
            <w:noWrap/>
            <w:vAlign w:val="bottom"/>
            <w:hideMark/>
          </w:tcPr>
          <w:p w:rsidR="00CE07B9" w:rsidRPr="00CE07B9" w:rsidRDefault="00663B1A" w:rsidP="00663B1A">
            <w:pPr>
              <w:spacing w:before="0"/>
              <w:jc w:val="right"/>
              <w:rPr>
                <w:rFonts w:eastAsia="Times New Roman"/>
                <w:b/>
                <w:bCs/>
                <w:color w:val="000000"/>
                <w:sz w:val="24"/>
                <w:szCs w:val="24"/>
                <w:lang w:eastAsia="ru-RU"/>
              </w:rPr>
            </w:pPr>
            <w:r>
              <w:rPr>
                <w:rFonts w:eastAsia="Times New Roman"/>
                <w:b/>
                <w:bCs/>
                <w:color w:val="000000"/>
                <w:sz w:val="24"/>
                <w:szCs w:val="24"/>
                <w:lang w:eastAsia="ru-RU"/>
              </w:rPr>
              <w:t>311</w:t>
            </w:r>
            <w:r w:rsidR="00DF7AD2">
              <w:rPr>
                <w:rFonts w:eastAsia="Times New Roman"/>
                <w:b/>
                <w:bCs/>
                <w:color w:val="000000"/>
                <w:sz w:val="24"/>
                <w:szCs w:val="24"/>
                <w:lang w:eastAsia="ru-RU"/>
              </w:rPr>
              <w:t xml:space="preserve"> </w:t>
            </w:r>
            <w:r>
              <w:rPr>
                <w:rFonts w:eastAsia="Times New Roman"/>
                <w:b/>
                <w:bCs/>
                <w:color w:val="000000"/>
                <w:sz w:val="24"/>
                <w:szCs w:val="24"/>
                <w:lang w:eastAsia="ru-RU"/>
              </w:rPr>
              <w:t>805</w:t>
            </w:r>
            <w:r w:rsidR="00DF7AD2" w:rsidRPr="00DF7AD2">
              <w:rPr>
                <w:rFonts w:eastAsia="Times New Roman"/>
                <w:b/>
                <w:bCs/>
                <w:color w:val="000000"/>
                <w:sz w:val="24"/>
                <w:szCs w:val="24"/>
                <w:lang w:eastAsia="ru-RU"/>
              </w:rPr>
              <w:t>,</w:t>
            </w:r>
            <w:r>
              <w:rPr>
                <w:rFonts w:eastAsia="Times New Roman"/>
                <w:b/>
                <w:bCs/>
                <w:color w:val="000000"/>
                <w:sz w:val="24"/>
                <w:szCs w:val="24"/>
                <w:lang w:eastAsia="ru-RU"/>
              </w:rPr>
              <w:t>85</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887" w:rsidRDefault="00746887" w:rsidP="00A7271F">
      <w:pPr>
        <w:spacing w:before="0"/>
      </w:pPr>
      <w:r>
        <w:separator/>
      </w:r>
    </w:p>
  </w:endnote>
  <w:endnote w:type="continuationSeparator" w:id="0">
    <w:p w:rsidR="00746887" w:rsidRDefault="0074688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8C2C2F" w:rsidRDefault="008C2C2F">
        <w:pPr>
          <w:pStyle w:val="aff4"/>
          <w:jc w:val="right"/>
        </w:pPr>
        <w:r>
          <w:fldChar w:fldCharType="begin"/>
        </w:r>
        <w:r>
          <w:instrText>PAGE   \* MERGEFORMAT</w:instrText>
        </w:r>
        <w:r>
          <w:fldChar w:fldCharType="separate"/>
        </w:r>
        <w:r w:rsidR="00FD5E2A">
          <w:rPr>
            <w:noProof/>
          </w:rPr>
          <w:t>99</w:t>
        </w:r>
        <w:r>
          <w:fldChar w:fldCharType="end"/>
        </w:r>
      </w:p>
    </w:sdtContent>
  </w:sdt>
  <w:p w:rsidR="008C2C2F" w:rsidRDefault="008C2C2F">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887" w:rsidRDefault="00746887" w:rsidP="00A7271F">
      <w:pPr>
        <w:spacing w:before="0"/>
      </w:pPr>
      <w:r>
        <w:separator/>
      </w:r>
    </w:p>
  </w:footnote>
  <w:footnote w:type="continuationSeparator" w:id="0">
    <w:p w:rsidR="00746887" w:rsidRDefault="00746887" w:rsidP="00A7271F">
      <w:pPr>
        <w:spacing w:before="0"/>
      </w:pPr>
      <w:r>
        <w:continuationSeparator/>
      </w:r>
    </w:p>
  </w:footnote>
  <w:footnote w:id="1">
    <w:p w:rsidR="008C2C2F" w:rsidRDefault="008C2C2F"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C2C2F" w:rsidRDefault="008C2C2F"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C2C2F" w:rsidRDefault="008C2C2F"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C2C2F" w:rsidRDefault="008C2C2F"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79CC-3037-4405-9362-CA6DE3C3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111</Pages>
  <Words>31862</Words>
  <Characters>181618</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10</cp:revision>
  <cp:lastPrinted>2021-05-17T08:19:00Z</cp:lastPrinted>
  <dcterms:created xsi:type="dcterms:W3CDTF">2021-03-24T23:47:00Z</dcterms:created>
  <dcterms:modified xsi:type="dcterms:W3CDTF">2021-05-17T08:29:00Z</dcterms:modified>
</cp:coreProperties>
</file>