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16D4C"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CE76DE">
        <w:rPr>
          <w:bCs/>
          <w:iCs/>
        </w:rPr>
        <w:t xml:space="preserve">рулонных штор </w:t>
      </w:r>
      <w:r w:rsidR="00E3137C" w:rsidRPr="00E3137C">
        <w:t xml:space="preserve">для </w:t>
      </w:r>
    </w:p>
    <w:p w:rsidR="00737F90" w:rsidRPr="001B3D7E" w:rsidRDefault="00E3137C" w:rsidP="00737F90">
      <w:pPr>
        <w:spacing w:after="240" w:line="276" w:lineRule="auto"/>
        <w:contextualSpacing/>
        <w:jc w:val="center"/>
      </w:pPr>
      <w:r w:rsidRPr="00E3137C">
        <w:t>АН ДОО "Алмазик"</w:t>
      </w:r>
      <w:r w:rsidR="00737F90">
        <w:t xml:space="preserve"> </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99541E">
          <w:rPr>
            <w:noProof/>
            <w:webHidden/>
          </w:rPr>
          <w:t>4</w:t>
        </w:r>
        <w:r w:rsidR="00650B5C">
          <w:rPr>
            <w:noProof/>
            <w:webHidden/>
          </w:rPr>
          <w:fldChar w:fldCharType="end"/>
        </w:r>
      </w:hyperlink>
    </w:p>
    <w:p w:rsidR="00650B5C" w:rsidRDefault="00311C1F">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99541E">
          <w:rPr>
            <w:noProof/>
            <w:webHidden/>
          </w:rPr>
          <w:t>6</w:t>
        </w:r>
        <w:r w:rsidR="00650B5C">
          <w:rPr>
            <w:noProof/>
            <w:webHidden/>
          </w:rPr>
          <w:fldChar w:fldCharType="end"/>
        </w:r>
      </w:hyperlink>
    </w:p>
    <w:p w:rsidR="00650B5C" w:rsidRDefault="00311C1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99541E">
          <w:rPr>
            <w:noProof/>
            <w:webHidden/>
          </w:rPr>
          <w:t>7</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99541E">
          <w:rPr>
            <w:noProof/>
            <w:webHidden/>
          </w:rPr>
          <w:t>7</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99541E">
          <w:rPr>
            <w:noProof/>
            <w:webHidden/>
          </w:rPr>
          <w:t>7</w:t>
        </w:r>
        <w:r w:rsidR="00650B5C">
          <w:rPr>
            <w:noProof/>
            <w:webHidden/>
          </w:rPr>
          <w:fldChar w:fldCharType="end"/>
        </w:r>
      </w:hyperlink>
    </w:p>
    <w:p w:rsidR="00650B5C" w:rsidRDefault="00311C1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99541E">
          <w:rPr>
            <w:noProof/>
            <w:webHidden/>
          </w:rPr>
          <w:t>23</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99541E">
          <w:rPr>
            <w:noProof/>
            <w:webHidden/>
          </w:rPr>
          <w:t>23</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99541E">
          <w:rPr>
            <w:noProof/>
            <w:webHidden/>
          </w:rPr>
          <w:t>24</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99541E">
          <w:rPr>
            <w:noProof/>
            <w:webHidden/>
          </w:rPr>
          <w:t>24</w:t>
        </w:r>
        <w:r w:rsidR="00650B5C">
          <w:rPr>
            <w:noProof/>
            <w:webHidden/>
          </w:rPr>
          <w:fldChar w:fldCharType="end"/>
        </w:r>
      </w:hyperlink>
    </w:p>
    <w:p w:rsidR="00650B5C" w:rsidRDefault="00311C1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99541E">
          <w:rPr>
            <w:noProof/>
            <w:webHidden/>
          </w:rPr>
          <w:t>24</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99541E">
          <w:rPr>
            <w:noProof/>
            <w:webHidden/>
          </w:rPr>
          <w:t>24</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99541E">
          <w:rPr>
            <w:noProof/>
            <w:webHidden/>
          </w:rPr>
          <w:t>25</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99541E">
          <w:rPr>
            <w:noProof/>
            <w:webHidden/>
          </w:rPr>
          <w:t>25</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99541E">
          <w:rPr>
            <w:noProof/>
            <w:webHidden/>
          </w:rPr>
          <w:t>26</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99541E">
          <w:rPr>
            <w:noProof/>
            <w:webHidden/>
          </w:rPr>
          <w:t>27</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99541E">
          <w:rPr>
            <w:noProof/>
            <w:webHidden/>
          </w:rPr>
          <w:t>28</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99541E">
          <w:rPr>
            <w:noProof/>
            <w:webHidden/>
          </w:rPr>
          <w:t>29</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99541E">
          <w:rPr>
            <w:noProof/>
            <w:webHidden/>
          </w:rPr>
          <w:t>30</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99541E">
          <w:rPr>
            <w:noProof/>
            <w:webHidden/>
          </w:rPr>
          <w:t>31</w:t>
        </w:r>
        <w:r w:rsidR="00650B5C">
          <w:rPr>
            <w:noProof/>
            <w:webHidden/>
          </w:rPr>
          <w:fldChar w:fldCharType="end"/>
        </w:r>
      </w:hyperlink>
    </w:p>
    <w:p w:rsidR="00650B5C" w:rsidRDefault="00311C1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99541E">
          <w:rPr>
            <w:noProof/>
            <w:webHidden/>
          </w:rPr>
          <w:t>31</w:t>
        </w:r>
        <w:r w:rsidR="00650B5C">
          <w:rPr>
            <w:noProof/>
            <w:webHidden/>
          </w:rPr>
          <w:fldChar w:fldCharType="end"/>
        </w:r>
      </w:hyperlink>
    </w:p>
    <w:p w:rsidR="00650B5C" w:rsidRDefault="00311C1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99541E">
          <w:rPr>
            <w:noProof/>
            <w:webHidden/>
          </w:rPr>
          <w:t>31</w:t>
        </w:r>
        <w:r w:rsidR="00650B5C">
          <w:rPr>
            <w:noProof/>
            <w:webHidden/>
          </w:rPr>
          <w:fldChar w:fldCharType="end"/>
        </w:r>
      </w:hyperlink>
    </w:p>
    <w:p w:rsidR="00650B5C" w:rsidRDefault="00311C1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99541E">
          <w:rPr>
            <w:noProof/>
            <w:webHidden/>
          </w:rPr>
          <w:t>32</w:t>
        </w:r>
        <w:r w:rsidR="00650B5C">
          <w:rPr>
            <w:noProof/>
            <w:webHidden/>
          </w:rPr>
          <w:fldChar w:fldCharType="end"/>
        </w:r>
      </w:hyperlink>
    </w:p>
    <w:p w:rsidR="00650B5C" w:rsidRDefault="00311C1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99541E">
          <w:rPr>
            <w:noProof/>
            <w:webHidden/>
          </w:rPr>
          <w:t>35</w:t>
        </w:r>
        <w:r w:rsidR="00650B5C">
          <w:rPr>
            <w:noProof/>
            <w:webHidden/>
          </w:rPr>
          <w:fldChar w:fldCharType="end"/>
        </w:r>
      </w:hyperlink>
    </w:p>
    <w:p w:rsidR="00650B5C" w:rsidRDefault="00311C1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99541E">
          <w:rPr>
            <w:noProof/>
            <w:webHidden/>
          </w:rPr>
          <w:t>35</w:t>
        </w:r>
        <w:r w:rsidR="00650B5C">
          <w:rPr>
            <w:noProof/>
            <w:webHidden/>
          </w:rPr>
          <w:fldChar w:fldCharType="end"/>
        </w:r>
      </w:hyperlink>
    </w:p>
    <w:p w:rsidR="00650B5C" w:rsidRDefault="00311C1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99541E">
          <w:rPr>
            <w:noProof/>
            <w:webHidden/>
          </w:rPr>
          <w:t>38</w:t>
        </w:r>
        <w:r w:rsidR="00650B5C">
          <w:rPr>
            <w:noProof/>
            <w:webHidden/>
          </w:rPr>
          <w:fldChar w:fldCharType="end"/>
        </w:r>
      </w:hyperlink>
    </w:p>
    <w:p w:rsidR="00650B5C" w:rsidRDefault="00311C1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99541E">
          <w:rPr>
            <w:noProof/>
            <w:webHidden/>
          </w:rPr>
          <w:t>38</w:t>
        </w:r>
        <w:r w:rsidR="00650B5C">
          <w:rPr>
            <w:noProof/>
            <w:webHidden/>
          </w:rPr>
          <w:fldChar w:fldCharType="end"/>
        </w:r>
      </w:hyperlink>
    </w:p>
    <w:p w:rsidR="00650B5C" w:rsidRDefault="00311C1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99541E">
          <w:rPr>
            <w:noProof/>
            <w:webHidden/>
          </w:rPr>
          <w:t>39</w:t>
        </w:r>
        <w:r w:rsidR="00650B5C">
          <w:rPr>
            <w:noProof/>
            <w:webHidden/>
          </w:rPr>
          <w:fldChar w:fldCharType="end"/>
        </w:r>
      </w:hyperlink>
    </w:p>
    <w:p w:rsidR="00650B5C" w:rsidRDefault="00311C1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99541E">
          <w:rPr>
            <w:noProof/>
            <w:webHidden/>
          </w:rPr>
          <w:t>40</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99541E">
          <w:rPr>
            <w:noProof/>
            <w:webHidden/>
          </w:rPr>
          <w:t>40</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99541E">
          <w:rPr>
            <w:noProof/>
            <w:webHidden/>
          </w:rPr>
          <w:t>40</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99541E">
          <w:rPr>
            <w:noProof/>
            <w:webHidden/>
          </w:rPr>
          <w:t>41</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99541E">
          <w:rPr>
            <w:noProof/>
            <w:webHidden/>
          </w:rPr>
          <w:t>43</w:t>
        </w:r>
        <w:r w:rsidR="00650B5C">
          <w:rPr>
            <w:noProof/>
            <w:webHidden/>
          </w:rPr>
          <w:fldChar w:fldCharType="end"/>
        </w:r>
      </w:hyperlink>
    </w:p>
    <w:p w:rsidR="00650B5C" w:rsidRDefault="00311C1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99541E">
          <w:rPr>
            <w:noProof/>
            <w:webHidden/>
          </w:rPr>
          <w:t>43</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99541E">
          <w:rPr>
            <w:noProof/>
            <w:webHidden/>
          </w:rPr>
          <w:t>43</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99541E">
          <w:rPr>
            <w:noProof/>
            <w:webHidden/>
          </w:rPr>
          <w:t>44</w:t>
        </w:r>
        <w:r w:rsidR="00650B5C">
          <w:rPr>
            <w:noProof/>
            <w:webHidden/>
          </w:rPr>
          <w:fldChar w:fldCharType="end"/>
        </w:r>
      </w:hyperlink>
    </w:p>
    <w:p w:rsidR="00650B5C" w:rsidRDefault="00311C1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99541E">
          <w:rPr>
            <w:noProof/>
            <w:webHidden/>
          </w:rPr>
          <w:t>44</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99541E">
          <w:rPr>
            <w:noProof/>
            <w:webHidden/>
          </w:rPr>
          <w:t>44</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99541E">
          <w:rPr>
            <w:noProof/>
            <w:webHidden/>
          </w:rPr>
          <w:t>46</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99541E">
          <w:rPr>
            <w:noProof/>
            <w:webHidden/>
          </w:rPr>
          <w:t>47</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99541E">
          <w:rPr>
            <w:noProof/>
            <w:webHidden/>
          </w:rPr>
          <w:t>48</w:t>
        </w:r>
        <w:r w:rsidR="00650B5C">
          <w:rPr>
            <w:noProof/>
            <w:webHidden/>
          </w:rPr>
          <w:fldChar w:fldCharType="end"/>
        </w:r>
      </w:hyperlink>
    </w:p>
    <w:p w:rsidR="00650B5C" w:rsidRDefault="00311C1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99541E">
          <w:rPr>
            <w:noProof/>
            <w:webHidden/>
          </w:rPr>
          <w:t>49</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99541E">
          <w:rPr>
            <w:noProof/>
            <w:webHidden/>
          </w:rPr>
          <w:t>49</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99541E">
          <w:rPr>
            <w:noProof/>
            <w:webHidden/>
          </w:rPr>
          <w:t>49</w:t>
        </w:r>
        <w:r w:rsidR="00650B5C">
          <w:rPr>
            <w:noProof/>
            <w:webHidden/>
          </w:rPr>
          <w:fldChar w:fldCharType="end"/>
        </w:r>
      </w:hyperlink>
    </w:p>
    <w:p w:rsidR="00650B5C" w:rsidRDefault="00311C1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99541E">
          <w:rPr>
            <w:noProof/>
            <w:webHidden/>
          </w:rPr>
          <w:t>51</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99541E">
          <w:rPr>
            <w:noProof/>
            <w:webHidden/>
          </w:rPr>
          <w:t>51</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99541E">
          <w:rPr>
            <w:noProof/>
            <w:webHidden/>
          </w:rPr>
          <w:t>52</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99541E">
          <w:rPr>
            <w:noProof/>
            <w:webHidden/>
          </w:rPr>
          <w:t>55</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99541E">
          <w:rPr>
            <w:noProof/>
            <w:webHidden/>
          </w:rPr>
          <w:t>56</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99541E">
          <w:rPr>
            <w:noProof/>
            <w:webHidden/>
          </w:rPr>
          <w:t>58</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99541E">
          <w:rPr>
            <w:noProof/>
            <w:webHidden/>
          </w:rPr>
          <w:t>64</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99541E">
          <w:rPr>
            <w:noProof/>
            <w:webHidden/>
          </w:rPr>
          <w:t>69</w:t>
        </w:r>
        <w:r w:rsidR="00650B5C">
          <w:rPr>
            <w:noProof/>
            <w:webHidden/>
          </w:rPr>
          <w:fldChar w:fldCharType="end"/>
        </w:r>
      </w:hyperlink>
    </w:p>
    <w:p w:rsidR="00650B5C" w:rsidRDefault="00311C1F">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99541E">
          <w:rPr>
            <w:noProof/>
            <w:webHidden/>
          </w:rPr>
          <w:t>71</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99541E">
          <w:rPr>
            <w:noProof/>
            <w:webHidden/>
          </w:rPr>
          <w:t>71</w:t>
        </w:r>
        <w:r w:rsidR="00650B5C">
          <w:rPr>
            <w:noProof/>
            <w:webHidden/>
          </w:rPr>
          <w:fldChar w:fldCharType="end"/>
        </w:r>
      </w:hyperlink>
    </w:p>
    <w:p w:rsidR="00650B5C" w:rsidRDefault="00311C1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99541E">
          <w:rPr>
            <w:noProof/>
            <w:webHidden/>
          </w:rPr>
          <w:t>72</w:t>
        </w:r>
        <w:r w:rsidR="00650B5C">
          <w:rPr>
            <w:noProof/>
            <w:webHidden/>
          </w:rPr>
          <w:fldChar w:fldCharType="end"/>
        </w:r>
      </w:hyperlink>
    </w:p>
    <w:p w:rsidR="00650B5C" w:rsidRDefault="00311C1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99541E">
          <w:rPr>
            <w:noProof/>
            <w:webHidden/>
          </w:rPr>
          <w:t>73</w:t>
        </w:r>
        <w:r w:rsidR="00650B5C">
          <w:rPr>
            <w:noProof/>
            <w:webHidden/>
          </w:rPr>
          <w:fldChar w:fldCharType="end"/>
        </w:r>
      </w:hyperlink>
    </w:p>
    <w:p w:rsidR="00650B5C" w:rsidRDefault="00311C1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99541E">
          <w:rPr>
            <w:noProof/>
            <w:webHidden/>
          </w:rPr>
          <w:t>74</w:t>
        </w:r>
        <w:r w:rsidR="00650B5C">
          <w:rPr>
            <w:noProof/>
            <w:webHidden/>
          </w:rPr>
          <w:fldChar w:fldCharType="end"/>
        </w:r>
      </w:hyperlink>
    </w:p>
    <w:p w:rsidR="00650B5C" w:rsidRDefault="00311C1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99541E">
          <w:rPr>
            <w:noProof/>
            <w:webHidden/>
          </w:rPr>
          <w:t>76</w:t>
        </w:r>
        <w:r w:rsidR="00650B5C">
          <w:rPr>
            <w:noProof/>
            <w:webHidden/>
          </w:rPr>
          <w:fldChar w:fldCharType="end"/>
        </w:r>
      </w:hyperlink>
    </w:p>
    <w:p w:rsidR="00650B5C" w:rsidRDefault="00311C1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99541E">
          <w:rPr>
            <w:noProof/>
            <w:webHidden/>
          </w:rPr>
          <w:t>77</w:t>
        </w:r>
        <w:r w:rsidR="00650B5C">
          <w:rPr>
            <w:noProof/>
            <w:webHidden/>
          </w:rPr>
          <w:fldChar w:fldCharType="end"/>
        </w:r>
      </w:hyperlink>
    </w:p>
    <w:p w:rsidR="00650B5C" w:rsidRDefault="00311C1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99541E">
          <w:rPr>
            <w:noProof/>
            <w:webHidden/>
          </w:rPr>
          <w:t>78</w:t>
        </w:r>
        <w:r w:rsidR="00650B5C">
          <w:rPr>
            <w:noProof/>
            <w:webHidden/>
          </w:rPr>
          <w:fldChar w:fldCharType="end"/>
        </w:r>
      </w:hyperlink>
    </w:p>
    <w:p w:rsidR="00650B5C" w:rsidRDefault="00311C1F">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99541E">
          <w:rPr>
            <w:noProof/>
            <w:webHidden/>
          </w:rPr>
          <w:t>78</w:t>
        </w:r>
        <w:r w:rsidR="00650B5C">
          <w:rPr>
            <w:noProof/>
            <w:webHidden/>
          </w:rPr>
          <w:fldChar w:fldCharType="end"/>
        </w:r>
      </w:hyperlink>
    </w:p>
    <w:p w:rsidR="00650B5C" w:rsidRDefault="00C941B0">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2:Сведения о начальной максимальной цене………………………………</w:t>
      </w:r>
      <w:r w:rsidR="00EA1FD1">
        <w:rPr>
          <w:rStyle w:val="af6"/>
          <w:noProof/>
          <w:color w:val="auto"/>
          <w:u w:val="none"/>
        </w:rPr>
        <w:t>88</w:t>
      </w:r>
      <w:r>
        <w:rPr>
          <w:rFonts w:asciiTheme="minorHAnsi" w:eastAsiaTheme="minorEastAsia" w:hAnsiTheme="minorHAnsi" w:cstheme="minorBidi"/>
          <w:noProof/>
          <w:sz w:val="22"/>
          <w:szCs w:val="22"/>
          <w:lang w:eastAsia="ru-RU"/>
        </w:rPr>
        <w:t xml:space="preserve"> </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C941B0">
        <w:rPr>
          <w:rStyle w:val="af6"/>
          <w:noProof/>
          <w:color w:val="auto"/>
          <w:u w:val="none"/>
        </w:rPr>
        <w:t>3</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EA1FD1">
        <w:rPr>
          <w:rStyle w:val="af6"/>
          <w:noProof/>
          <w:color w:val="auto"/>
          <w:u w:val="none"/>
        </w:rPr>
        <w:t>………….   89</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 xml:space="preserve">ПРИЛОЖЕНИЕ </w:t>
      </w:r>
      <w:r w:rsidR="00C941B0">
        <w:rPr>
          <w:rStyle w:val="af6"/>
          <w:noProof/>
          <w:color w:val="auto"/>
          <w:u w:val="none"/>
        </w:rPr>
        <w:t>4</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C941B0">
        <w:rPr>
          <w:rStyle w:val="af6"/>
          <w:noProof/>
          <w:color w:val="auto"/>
          <w:u w:val="none"/>
        </w:rPr>
        <w:t>…..…………9</w:t>
      </w:r>
      <w:r w:rsidR="00EA1FD1">
        <w:rPr>
          <w:rStyle w:val="af6"/>
          <w:noProof/>
          <w:color w:val="auto"/>
          <w:u w:val="none"/>
        </w:rPr>
        <w:t>7</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9541E">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E76DE">
            <w:pPr>
              <w:spacing w:after="240" w:line="276" w:lineRule="auto"/>
              <w:contextualSpacing/>
              <w:jc w:val="left"/>
            </w:pPr>
            <w:r>
              <w:t>Поставка</w:t>
            </w:r>
            <w:r w:rsidRPr="001B3D7E">
              <w:t xml:space="preserve"> </w:t>
            </w:r>
            <w:r w:rsidR="00CE76DE">
              <w:rPr>
                <w:bCs/>
                <w:iCs/>
              </w:rPr>
              <w:t xml:space="preserve">рулонных штор </w:t>
            </w:r>
            <w:r w:rsidR="00B40749" w:rsidRPr="00B40749">
              <w:rPr>
                <w:bCs/>
                <w:iCs/>
              </w:rPr>
              <w:t>для</w:t>
            </w:r>
            <w:r w:rsidR="00CE76DE">
              <w:rPr>
                <w:bCs/>
                <w:iCs/>
              </w:rPr>
              <w:t xml:space="preserve"> </w:t>
            </w:r>
            <w:r w:rsidR="00B40749" w:rsidRPr="00B40749">
              <w:rPr>
                <w:bCs/>
                <w:iCs/>
              </w:rPr>
              <w:t>АН ДОО "Алмазик".</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CE76DE">
              <w:t>Ефимова Анастасия Романовна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t xml:space="preserve">Место официального размещения информации о </w:t>
            </w:r>
            <w:r>
              <w:lastRenderedPageBreak/>
              <w:t>закупке, официальное размещение:</w:t>
            </w:r>
            <w:bookmarkEnd w:id="30"/>
          </w:p>
        </w:tc>
        <w:tc>
          <w:tcPr>
            <w:tcW w:w="6060" w:type="dxa"/>
          </w:tcPr>
          <w:p w:rsidR="008B3D0F" w:rsidRPr="00E3137C" w:rsidRDefault="00311C1F">
            <w:pPr>
              <w:spacing w:before="60" w:after="60"/>
              <w:rPr>
                <w:lang w:val="en-US"/>
              </w:rPr>
            </w:pPr>
            <w:hyperlink r:id="rId9" w:history="1">
              <w:r w:rsidR="00E3137C" w:rsidRPr="00617E4D">
                <w:rPr>
                  <w:rStyle w:val="af6"/>
                </w:rPr>
                <w:t>https://www.almazik.org</w:t>
              </w:r>
            </w:hyperlink>
            <w:r w:rsidR="00E3137C">
              <w:rPr>
                <w:lang w:val="en-US"/>
              </w:rPr>
              <w:t xml:space="preserve"> </w:t>
            </w:r>
            <w:bookmarkStart w:id="31" w:name="_GoBack"/>
            <w:bookmarkEnd w:id="31"/>
          </w:p>
        </w:tc>
      </w:tr>
      <w:tr w:rsidR="008B3D0F" w:rsidTr="009B2604">
        <w:tc>
          <w:tcPr>
            <w:tcW w:w="4361" w:type="dxa"/>
          </w:tcPr>
          <w:p w:rsidR="008B3D0F" w:rsidRDefault="008B3D0F" w:rsidP="003A69DA">
            <w:pPr>
              <w:pStyle w:val="111"/>
              <w:spacing w:before="0"/>
            </w:pPr>
            <w:bookmarkStart w:id="32" w:name="_Ref446066558"/>
            <w:bookmarkStart w:id="33" w:name="_Ref446068116"/>
            <w:bookmarkEnd w:id="32"/>
            <w:r w:rsidRPr="00FB376D">
              <w:lastRenderedPageBreak/>
              <w:t>Наименование электронной торговой площадки (ЭТП), на которой проводится закупка</w:t>
            </w:r>
            <w:r>
              <w:t>:</w:t>
            </w:r>
            <w:bookmarkEnd w:id="33"/>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4" w:name="_Ref446080853"/>
            <w:r>
              <w:t>Участниками закупки являются:</w:t>
            </w:r>
            <w:bookmarkEnd w:id="34"/>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«Алмазик»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CE76DE">
            <w:pPr>
              <w:spacing w:before="60" w:after="60"/>
            </w:pPr>
            <w:r>
              <w:t xml:space="preserve">До </w:t>
            </w:r>
            <w:r w:rsidR="00CE76DE">
              <w:t>30</w:t>
            </w:r>
            <w:r w:rsidR="00B40749">
              <w:t>.</w:t>
            </w:r>
            <w:r w:rsidR="00CE76DE">
              <w:t>09</w:t>
            </w:r>
            <w:r>
              <w:t>.2021</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5" w:name="_Ref446066595"/>
            <w:r>
              <w:t>С</w:t>
            </w:r>
            <w:r w:rsidRPr="00135825">
              <w:t xml:space="preserve">ведения о </w:t>
            </w:r>
            <w:r>
              <w:t>НМЦ:</w:t>
            </w:r>
            <w:bookmarkEnd w:id="35"/>
          </w:p>
        </w:tc>
        <w:tc>
          <w:tcPr>
            <w:tcW w:w="6060" w:type="dxa"/>
          </w:tcPr>
          <w:p w:rsidR="008B3D0F" w:rsidRPr="00F952F4" w:rsidRDefault="00CE76DE" w:rsidP="00CE76DE">
            <w:pPr>
              <w:spacing w:before="0"/>
              <w:rPr>
                <w:highlight w:val="yellow"/>
              </w:rPr>
            </w:pPr>
            <w:r>
              <w:t>528 205</w:t>
            </w:r>
            <w:r w:rsidR="00B40749">
              <w:t>,</w:t>
            </w:r>
            <w:r>
              <w:t>21</w:t>
            </w:r>
            <w:r w:rsidR="00B40749" w:rsidRPr="007A5590">
              <w:t xml:space="preserve"> (</w:t>
            </w:r>
            <w:r>
              <w:t>пятьсот двадцать восемь тысяч двести пять</w:t>
            </w:r>
            <w:r w:rsidR="00B40749" w:rsidRPr="007A5590">
              <w:t xml:space="preserve">) рублей </w:t>
            </w:r>
            <w:r>
              <w:t>21</w:t>
            </w:r>
            <w:r w:rsidR="00B40749" w:rsidRPr="007A5590">
              <w:t xml:space="preserve"> копе</w:t>
            </w:r>
            <w:r w:rsidR="00B40749">
              <w:t>ек</w:t>
            </w:r>
            <w:r w:rsidR="00B40749" w:rsidRPr="007A5590">
              <w:t>, в том числе НДС</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6"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6"/>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CE76DE">
            <w:pPr>
              <w:spacing w:before="60" w:after="60"/>
              <w:rPr>
                <w:i/>
                <w:highlight w:val="yellow"/>
              </w:rPr>
            </w:pPr>
            <w:r>
              <w:t xml:space="preserve">с </w:t>
            </w:r>
            <w:r w:rsidR="00311C1F">
              <w:t>20</w:t>
            </w:r>
            <w:r w:rsidR="00B40749" w:rsidRPr="00B40749">
              <w:t>.0</w:t>
            </w:r>
            <w:r w:rsidR="0099541E">
              <w:t>7.2021 по 02.08</w:t>
            </w:r>
            <w:r w:rsidR="00B40749" w:rsidRPr="00B40749">
              <w:t xml:space="preserve">.2021 </w:t>
            </w:r>
            <w:r w:rsidRPr="008C0CAC">
              <w:t>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B40749">
            <w:pPr>
              <w:spacing w:before="60" w:after="60"/>
            </w:pPr>
            <w:r>
              <w:t xml:space="preserve">с </w:t>
            </w:r>
            <w:r w:rsidR="0099541E">
              <w:t>20.07.2021 по 02.08</w:t>
            </w:r>
            <w:r w:rsidR="00B40749" w:rsidRPr="00B40749">
              <w:t xml:space="preserve">.2021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7" w:name="_Ref463530950"/>
            <w:r>
              <w:t>Срок для отзыва заявки</w:t>
            </w:r>
            <w:bookmarkEnd w:id="37"/>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8" w:name="_Ref446068327"/>
            <w:r w:rsidRPr="004C4F81">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8"/>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lastRenderedPageBreak/>
              <w:t xml:space="preserve">Дата и время вскрытия конвертов: </w:t>
            </w:r>
            <w:r w:rsidR="00CE76DE">
              <w:t>03</w:t>
            </w:r>
            <w:r w:rsidR="00B40749" w:rsidRPr="00B40749">
              <w:t>.0</w:t>
            </w:r>
            <w:r w:rsidR="00CE76DE">
              <w:t>8</w:t>
            </w:r>
            <w:r w:rsidR="00B40749" w:rsidRPr="00B40749">
              <w:t>.2021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8B3D0F" w:rsidRPr="009D1EA7" w:rsidRDefault="0031647A" w:rsidP="00CE76DE">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CE76DE">
              <w:t>05</w:t>
            </w:r>
            <w:r w:rsidR="000C5172">
              <w:t>.</w:t>
            </w:r>
            <w:r w:rsidR="00DD63A5">
              <w:t>0</w:t>
            </w:r>
            <w:r w:rsidR="00CE76DE">
              <w:t>8</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CE76DE">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CE76DE">
              <w:rPr>
                <w:szCs w:val="24"/>
              </w:rPr>
              <w:t>10</w:t>
            </w:r>
            <w:r w:rsidR="00B40749" w:rsidRPr="00B40749">
              <w:rPr>
                <w:szCs w:val="24"/>
              </w:rPr>
              <w:t>.0</w:t>
            </w:r>
            <w:r w:rsidR="00B40749">
              <w:rPr>
                <w:szCs w:val="24"/>
              </w:rPr>
              <w:t>8</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lastRenderedPageBreak/>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 xml:space="preserve">копия документа, подтверждающего полномочия лица на подписание заявки на участие в </w:t>
            </w:r>
            <w:r w:rsidR="00854740" w:rsidRPr="004A6FEB">
              <w:lastRenderedPageBreak/>
              <w:t>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4A6FEB">
              <w:lastRenderedPageBreak/>
              <w:t xml:space="preserve">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lastRenderedPageBreak/>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w:t>
            </w:r>
            <w:r w:rsidRPr="0031647A">
              <w:lastRenderedPageBreak/>
              <w:t>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lastRenderedPageBreak/>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lastRenderedPageBreak/>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Допускается (на полное соответстви</w:t>
            </w:r>
            <w:r w:rsidR="00C941B0">
              <w:t>е техническим характеристикам)</w:t>
            </w:r>
            <w:r>
              <w:t xml:space="preserve">. </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7580097"/>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7580098"/>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7580099"/>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7580100"/>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7580101"/>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7580102"/>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7580103"/>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7580104"/>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7580105"/>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7580106"/>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7580107"/>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7580108"/>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7580109"/>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7580110"/>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7580111"/>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7580112"/>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7580113"/>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7580114"/>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758011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7580116"/>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7580117"/>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7580118"/>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7580119"/>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7580120"/>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7580121"/>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7580122"/>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7580123"/>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7580124"/>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7580125"/>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7580126"/>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7580127"/>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7580128"/>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7580129"/>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7580130"/>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7580131"/>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7580132"/>
      <w:r>
        <w:lastRenderedPageBreak/>
        <w:t>Порядок применения приоритета</w:t>
      </w:r>
      <w:bookmarkEnd w:id="253"/>
      <w:bookmarkEnd w:id="254"/>
    </w:p>
    <w:p w:rsidR="00A7271F" w:rsidRDefault="00A7271F" w:rsidP="00D21542">
      <w:pPr>
        <w:pStyle w:val="11"/>
        <w:ind w:left="0" w:firstLine="0"/>
      </w:pPr>
      <w:bookmarkStart w:id="255" w:name="_Toc67580133"/>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7580134"/>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7580135"/>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99541E">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7580137"/>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7580138"/>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99541E" w:rsidRPr="0099541E">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7580139"/>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99541E">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99541E">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7580140"/>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7580141"/>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7580142"/>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7580144"/>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7580145"/>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7580146"/>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7580147"/>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7580148"/>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7580149"/>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7580150"/>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7580151"/>
      <w:bookmarkStart w:id="326" w:name="_Ref443485882"/>
      <w:bookmarkStart w:id="327" w:name="_Ref443487149"/>
      <w:bookmarkStart w:id="328" w:name="_Toc469544585"/>
      <w:r w:rsidRPr="001C784B">
        <w:t xml:space="preserve">ПРИЛОЖЕНИЕ 1: </w:t>
      </w:r>
      <w:r w:rsidR="001C4A01">
        <w:t>ПРОЕКТ ДОГОВОРА</w:t>
      </w:r>
      <w:bookmarkEnd w:id="325"/>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CE76DE">
        <w:rPr>
          <w:rFonts w:eastAsia="Times New Roman"/>
          <w:bCs/>
          <w:iCs/>
          <w:sz w:val="24"/>
          <w:szCs w:val="24"/>
          <w:lang w:eastAsia="ru-RU"/>
        </w:rPr>
        <w:t>рулонных штор</w:t>
      </w:r>
      <w:r w:rsidR="00125D03">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Валютой платежа в отношениях всех сумм подлежащей уплате ПОКУПАТЕЛЕМ по </w:t>
      </w:r>
      <w:r w:rsidRPr="00221127">
        <w:rPr>
          <w:rFonts w:eastAsia="Times New Roman"/>
          <w:sz w:val="24"/>
          <w:szCs w:val="24"/>
          <w:lang w:eastAsia="ru-RU"/>
        </w:rPr>
        <w:lastRenderedPageBreak/>
        <w:t>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CE76DE">
        <w:rPr>
          <w:rFonts w:eastAsia="Times New Roman"/>
          <w:sz w:val="24"/>
          <w:szCs w:val="24"/>
          <w:lang w:eastAsia="ru-RU"/>
        </w:rPr>
        <w:t>30</w:t>
      </w:r>
      <w:r>
        <w:rPr>
          <w:rFonts w:eastAsia="Times New Roman"/>
          <w:sz w:val="24"/>
          <w:szCs w:val="24"/>
          <w:lang w:eastAsia="ru-RU"/>
        </w:rPr>
        <w:t>.</w:t>
      </w:r>
      <w:r w:rsidR="00CE76DE">
        <w:rPr>
          <w:rFonts w:eastAsia="Times New Roman"/>
          <w:sz w:val="24"/>
          <w:szCs w:val="24"/>
          <w:lang w:eastAsia="ru-RU"/>
        </w:rPr>
        <w:t>09</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w:t>
      </w:r>
      <w:r w:rsidR="00663B1A">
        <w:rPr>
          <w:rFonts w:eastAsia="Times New Roman"/>
          <w:sz w:val="24"/>
          <w:szCs w:val="24"/>
          <w:lang w:eastAsia="ru-RU"/>
        </w:rPr>
        <w:t>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lastRenderedPageBreak/>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313EAA">
        <w:rPr>
          <w:rFonts w:eastAsia="Times New Roman"/>
          <w:sz w:val="24"/>
          <w:szCs w:val="24"/>
          <w:lang w:eastAsia="ru-RU"/>
        </w:rPr>
        <w:t xml:space="preserve">При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w:t>
      </w:r>
      <w:r w:rsidRPr="00313EAA">
        <w:rPr>
          <w:rFonts w:eastAsia="Times New Roman"/>
          <w:sz w:val="24"/>
          <w:szCs w:val="24"/>
          <w:lang w:eastAsia="ru-RU"/>
        </w:rPr>
        <w:lastRenderedPageBreak/>
        <w:t xml:space="preserve">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w:t>
      </w:r>
      <w:r w:rsidRPr="00313EAA">
        <w:rPr>
          <w:rFonts w:eastAsia="Times New Roman"/>
          <w:sz w:val="24"/>
          <w:szCs w:val="24"/>
          <w:lang w:eastAsia="ru-RU"/>
        </w:rPr>
        <w:lastRenderedPageBreak/>
        <w:t>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б)   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если ПОКУПАТЕЛЬ на основании закона, иных правовых актов или настоящего </w:t>
      </w:r>
      <w:r w:rsidRPr="00313EAA">
        <w:rPr>
          <w:rFonts w:eastAsia="Times New Roman"/>
          <w:sz w:val="24"/>
          <w:szCs w:val="24"/>
          <w:lang w:eastAsia="ru-RU"/>
        </w:rPr>
        <w:lastRenderedPageBreak/>
        <w:t>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потребовать от ПОСТАВЩИКА уплаты штрафа в размере 50 % от </w:t>
      </w:r>
      <w:r w:rsidRPr="00313EAA">
        <w:rPr>
          <w:rFonts w:eastAsia="Times New Roman"/>
          <w:sz w:val="24"/>
          <w:szCs w:val="24"/>
          <w:lang w:eastAsia="ru-RU"/>
        </w:rPr>
        <w:lastRenderedPageBreak/>
        <w:t>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w:t>
      </w:r>
      <w:r w:rsidRPr="00313EAA">
        <w:rPr>
          <w:rFonts w:eastAsia="Times New Roman"/>
          <w:sz w:val="24"/>
          <w:szCs w:val="24"/>
          <w:lang w:eastAsia="ru-RU"/>
        </w:rPr>
        <w:lastRenderedPageBreak/>
        <w:t>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w:t>
      </w:r>
      <w:r w:rsidRPr="00313EAA">
        <w:rPr>
          <w:rFonts w:eastAsia="Times New Roman"/>
          <w:sz w:val="24"/>
          <w:szCs w:val="24"/>
          <w:lang w:eastAsia="ru-RU"/>
        </w:rPr>
        <w:lastRenderedPageBreak/>
        <w:t>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FC2B06" w:rsidRPr="005A1A3F" w:rsidRDefault="00FC2B06" w:rsidP="00FC2B06">
      <w:pPr>
        <w:widowControl w:val="0"/>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7C7931" w:rsidRPr="005A1A3F" w:rsidRDefault="007C7931" w:rsidP="00C33B7D">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9" w:name="_Toc67580152"/>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9"/>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3"/>
            <w:r w:rsidRPr="005A1A3F">
              <w:rPr>
                <w:rFonts w:eastAsia="Times New Roman"/>
                <w:b/>
                <w:sz w:val="24"/>
                <w:szCs w:val="24"/>
                <w:lang w:eastAsia="ru-RU"/>
              </w:rPr>
              <w:t>ПОСТАВЩИК:</w:t>
            </w:r>
            <w:bookmarkEnd w:id="330"/>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4"/>
            <w:r w:rsidRPr="005A1A3F">
              <w:rPr>
                <w:rFonts w:eastAsia="Times New Roman"/>
                <w:b/>
                <w:sz w:val="24"/>
                <w:szCs w:val="24"/>
                <w:lang w:eastAsia="ru-RU"/>
              </w:rPr>
              <w:t>____________________</w:t>
            </w:r>
            <w:bookmarkEnd w:id="331"/>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2" w:name="_Toc67580155"/>
            <w:r w:rsidRPr="005A1A3F">
              <w:rPr>
                <w:rFonts w:eastAsia="Times New Roman"/>
                <w:b/>
                <w:sz w:val="24"/>
                <w:szCs w:val="24"/>
                <w:lang w:eastAsia="ru-RU"/>
              </w:rPr>
              <w:t>МП</w:t>
            </w:r>
            <w:bookmarkEnd w:id="332"/>
          </w:p>
          <w:p w:rsidR="007367B7" w:rsidRPr="007367B7" w:rsidRDefault="007367B7" w:rsidP="007367B7">
            <w:pPr>
              <w:ind w:firstLine="709"/>
            </w:pPr>
          </w:p>
        </w:tc>
      </w:tr>
      <w:bookmarkEnd w:id="326"/>
      <w:bookmarkEnd w:id="327"/>
      <w:bookmarkEnd w:id="328"/>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F70FD" w:rsidRDefault="00EF70FD" w:rsidP="0082656E">
      <w:pPr>
        <w:spacing w:before="0"/>
        <w:jc w:val="center"/>
        <w:rPr>
          <w:rFonts w:eastAsia="Times New Roman"/>
          <w:b/>
          <w:sz w:val="24"/>
          <w:szCs w:val="24"/>
          <w:lang w:eastAsia="ru-RU"/>
        </w:rPr>
      </w:pPr>
      <w:r w:rsidRPr="00290618">
        <w:rPr>
          <w:rFonts w:eastAsia="Times New Roman"/>
          <w:b/>
          <w:sz w:val="24"/>
          <w:szCs w:val="24"/>
          <w:lang w:eastAsia="ru-RU"/>
        </w:rPr>
        <w:lastRenderedPageBreak/>
        <w:t xml:space="preserve">Спецификация </w:t>
      </w:r>
      <w:r w:rsidR="0082656E" w:rsidRPr="00290618">
        <w:rPr>
          <w:rFonts w:eastAsia="Times New Roman"/>
          <w:b/>
          <w:sz w:val="24"/>
          <w:szCs w:val="24"/>
          <w:lang w:eastAsia="ru-RU"/>
        </w:rPr>
        <w:t xml:space="preserve">на </w:t>
      </w:r>
      <w:r w:rsidR="0082656E" w:rsidRPr="00C33B7D">
        <w:rPr>
          <w:rFonts w:eastAsia="Times New Roman"/>
          <w:b/>
          <w:sz w:val="24"/>
          <w:szCs w:val="24"/>
          <w:lang w:eastAsia="ru-RU"/>
        </w:rPr>
        <w:t xml:space="preserve">поставку </w:t>
      </w:r>
      <w:r w:rsidR="00533FC7">
        <w:rPr>
          <w:b/>
          <w:bCs/>
          <w:iCs/>
          <w:sz w:val="24"/>
        </w:rPr>
        <w:t xml:space="preserve">рулонных штор </w:t>
      </w:r>
      <w:r w:rsidR="008773E9" w:rsidRPr="008773E9">
        <w:rPr>
          <w:rFonts w:eastAsia="Times New Roman"/>
          <w:b/>
          <w:sz w:val="24"/>
          <w:szCs w:val="24"/>
          <w:lang w:eastAsia="ru-RU"/>
        </w:rPr>
        <w:t xml:space="preserve">для АН ДОО "Алмазик" </w:t>
      </w:r>
    </w:p>
    <w:p w:rsidR="002A58A5" w:rsidRDefault="002A58A5" w:rsidP="00EF70FD">
      <w:pPr>
        <w:spacing w:before="0"/>
        <w:jc w:val="center"/>
        <w:rPr>
          <w:rFonts w:eastAsia="Times New Roman"/>
          <w:b/>
          <w:sz w:val="24"/>
          <w:szCs w:val="24"/>
          <w:lang w:eastAsia="ru-RU"/>
        </w:rPr>
      </w:pPr>
    </w:p>
    <w:p w:rsidR="002A58A5" w:rsidRPr="00B03CC9" w:rsidRDefault="002A58A5" w:rsidP="00EF70FD">
      <w:pPr>
        <w:spacing w:before="0"/>
        <w:jc w:val="center"/>
        <w:rPr>
          <w:rFonts w:eastAsia="Times New Roman"/>
          <w:b/>
          <w:sz w:val="24"/>
          <w:szCs w:val="24"/>
          <w:lang w:eastAsia="ru-RU"/>
        </w:rPr>
      </w:pPr>
    </w:p>
    <w:tbl>
      <w:tblPr>
        <w:tblW w:w="11119" w:type="dxa"/>
        <w:tblInd w:w="-856" w:type="dxa"/>
        <w:tblLook w:val="04A0" w:firstRow="1" w:lastRow="0" w:firstColumn="1" w:lastColumn="0" w:noHBand="0" w:noVBand="1"/>
      </w:tblPr>
      <w:tblGrid>
        <w:gridCol w:w="816"/>
        <w:gridCol w:w="1753"/>
        <w:gridCol w:w="1136"/>
        <w:gridCol w:w="1446"/>
        <w:gridCol w:w="687"/>
        <w:gridCol w:w="837"/>
        <w:gridCol w:w="862"/>
        <w:gridCol w:w="1049"/>
        <w:gridCol w:w="1166"/>
        <w:gridCol w:w="1367"/>
      </w:tblGrid>
      <w:tr w:rsidR="009C0DA2" w:rsidRPr="009C0DA2" w:rsidTr="00533FC7">
        <w:trPr>
          <w:trHeight w:val="570"/>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b/>
                <w:bCs/>
                <w:color w:val="000000"/>
                <w:sz w:val="22"/>
                <w:szCs w:val="22"/>
                <w:lang w:eastAsia="ru-RU"/>
              </w:rPr>
            </w:pPr>
            <w:r w:rsidRPr="009C0DA2">
              <w:rPr>
                <w:rFonts w:eastAsia="Times New Roman"/>
                <w:b/>
                <w:bCs/>
                <w:color w:val="000000"/>
                <w:sz w:val="22"/>
                <w:szCs w:val="22"/>
                <w:lang w:eastAsia="ru-RU"/>
              </w:rPr>
              <w:t>№</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b/>
                <w:bCs/>
                <w:color w:val="000000"/>
                <w:sz w:val="22"/>
                <w:szCs w:val="22"/>
                <w:lang w:eastAsia="ru-RU"/>
              </w:rPr>
            </w:pPr>
            <w:r w:rsidRPr="009C0DA2">
              <w:rPr>
                <w:rFonts w:eastAsia="Times New Roman"/>
                <w:b/>
                <w:bCs/>
                <w:color w:val="000000"/>
                <w:sz w:val="22"/>
                <w:szCs w:val="22"/>
                <w:lang w:eastAsia="ru-RU"/>
              </w:rPr>
              <w:t>Наименование</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b/>
                <w:bCs/>
                <w:color w:val="000000"/>
                <w:sz w:val="22"/>
                <w:szCs w:val="22"/>
                <w:lang w:eastAsia="ru-RU"/>
              </w:rPr>
            </w:pPr>
            <w:r w:rsidRPr="009C0DA2">
              <w:rPr>
                <w:rFonts w:eastAsia="Times New Roman"/>
                <w:b/>
                <w:bCs/>
                <w:color w:val="000000"/>
                <w:sz w:val="22"/>
                <w:szCs w:val="22"/>
                <w:lang w:eastAsia="ru-RU"/>
              </w:rPr>
              <w:t>Цвет</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b/>
                <w:bCs/>
                <w:color w:val="000000"/>
                <w:sz w:val="22"/>
                <w:szCs w:val="22"/>
                <w:lang w:eastAsia="ru-RU"/>
              </w:rPr>
            </w:pPr>
            <w:r w:rsidRPr="009C0DA2">
              <w:rPr>
                <w:rFonts w:eastAsia="Times New Roman"/>
                <w:b/>
                <w:bCs/>
                <w:color w:val="000000"/>
                <w:sz w:val="22"/>
                <w:szCs w:val="22"/>
                <w:lang w:eastAsia="ru-RU"/>
              </w:rPr>
              <w:t>Размер (Ш*В) мм</w:t>
            </w:r>
          </w:p>
        </w:tc>
        <w:tc>
          <w:tcPr>
            <w:tcW w:w="687" w:type="dxa"/>
            <w:tcBorders>
              <w:top w:val="single" w:sz="4" w:space="0" w:color="auto"/>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b/>
                <w:bCs/>
                <w:color w:val="000000"/>
                <w:sz w:val="22"/>
                <w:szCs w:val="22"/>
                <w:lang w:eastAsia="ru-RU"/>
              </w:rPr>
            </w:pPr>
            <w:r w:rsidRPr="009C0DA2">
              <w:rPr>
                <w:rFonts w:eastAsia="Times New Roman"/>
                <w:b/>
                <w:bCs/>
                <w:color w:val="000000"/>
                <w:sz w:val="22"/>
                <w:szCs w:val="22"/>
                <w:lang w:eastAsia="ru-RU"/>
              </w:rPr>
              <w:t>м2</w:t>
            </w:r>
          </w:p>
        </w:tc>
        <w:tc>
          <w:tcPr>
            <w:tcW w:w="837" w:type="dxa"/>
            <w:tcBorders>
              <w:top w:val="single" w:sz="4" w:space="0" w:color="auto"/>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b/>
                <w:bCs/>
                <w:color w:val="000000"/>
                <w:sz w:val="22"/>
                <w:szCs w:val="22"/>
                <w:lang w:eastAsia="ru-RU"/>
              </w:rPr>
            </w:pPr>
            <w:r w:rsidRPr="009C0DA2">
              <w:rPr>
                <w:rFonts w:eastAsia="Times New Roman"/>
                <w:b/>
                <w:bCs/>
                <w:color w:val="000000"/>
                <w:sz w:val="22"/>
                <w:szCs w:val="22"/>
                <w:lang w:eastAsia="ru-RU"/>
              </w:rPr>
              <w:t>Ед. изм.</w:t>
            </w:r>
          </w:p>
        </w:tc>
        <w:tc>
          <w:tcPr>
            <w:tcW w:w="862" w:type="dxa"/>
            <w:tcBorders>
              <w:top w:val="single" w:sz="4" w:space="0" w:color="auto"/>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b/>
                <w:bCs/>
                <w:color w:val="000000"/>
                <w:sz w:val="22"/>
                <w:szCs w:val="22"/>
                <w:lang w:eastAsia="ru-RU"/>
              </w:rPr>
            </w:pPr>
            <w:r w:rsidRPr="009C0DA2">
              <w:rPr>
                <w:rFonts w:eastAsia="Times New Roman"/>
                <w:b/>
                <w:bCs/>
                <w:color w:val="000000"/>
                <w:sz w:val="22"/>
                <w:szCs w:val="22"/>
                <w:lang w:eastAsia="ru-RU"/>
              </w:rPr>
              <w:t>Кол-во</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right"/>
              <w:rPr>
                <w:rFonts w:eastAsia="Times New Roman"/>
                <w:b/>
                <w:bCs/>
                <w:color w:val="000000"/>
                <w:sz w:val="22"/>
                <w:szCs w:val="22"/>
                <w:lang w:eastAsia="ru-RU"/>
              </w:rPr>
            </w:pPr>
            <w:r w:rsidRPr="009C0DA2">
              <w:rPr>
                <w:rFonts w:eastAsia="Times New Roman"/>
                <w:b/>
                <w:bCs/>
                <w:color w:val="000000"/>
                <w:sz w:val="22"/>
                <w:szCs w:val="22"/>
                <w:lang w:eastAsia="ru-RU"/>
              </w:rPr>
              <w:t>Итого м2</w:t>
            </w:r>
          </w:p>
        </w:tc>
        <w:tc>
          <w:tcPr>
            <w:tcW w:w="1166" w:type="dxa"/>
            <w:tcBorders>
              <w:top w:val="single" w:sz="4" w:space="0" w:color="auto"/>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b/>
                <w:bCs/>
                <w:color w:val="000000"/>
                <w:sz w:val="22"/>
                <w:szCs w:val="22"/>
                <w:lang w:eastAsia="ru-RU"/>
              </w:rPr>
            </w:pPr>
            <w:r w:rsidRPr="009C0DA2">
              <w:rPr>
                <w:rFonts w:eastAsia="Times New Roman"/>
                <w:b/>
                <w:bCs/>
                <w:color w:val="000000"/>
                <w:sz w:val="22"/>
                <w:szCs w:val="22"/>
                <w:lang w:eastAsia="ru-RU"/>
              </w:rPr>
              <w:t>Цена, (руб.)</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b/>
                <w:bCs/>
                <w:color w:val="000000"/>
                <w:sz w:val="22"/>
                <w:szCs w:val="22"/>
                <w:lang w:eastAsia="ru-RU"/>
              </w:rPr>
            </w:pPr>
            <w:r w:rsidRPr="009C0DA2">
              <w:rPr>
                <w:rFonts w:eastAsia="Times New Roman"/>
                <w:b/>
                <w:bCs/>
                <w:color w:val="000000"/>
                <w:sz w:val="22"/>
                <w:szCs w:val="22"/>
                <w:lang w:eastAsia="ru-RU"/>
              </w:rPr>
              <w:t>Стоимость, с НДС (руб.)</w:t>
            </w:r>
          </w:p>
        </w:tc>
      </w:tr>
      <w:tr w:rsidR="009C0DA2" w:rsidRPr="009C0DA2" w:rsidTr="00533FC7">
        <w:trPr>
          <w:trHeight w:val="315"/>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1</w:t>
            </w:r>
          </w:p>
        </w:tc>
        <w:tc>
          <w:tcPr>
            <w:tcW w:w="1753" w:type="dxa"/>
            <w:vMerge w:val="restart"/>
            <w:tcBorders>
              <w:top w:val="nil"/>
              <w:left w:val="single" w:sz="4" w:space="0" w:color="auto"/>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4"/>
                <w:szCs w:val="24"/>
                <w:lang w:eastAsia="ru-RU"/>
              </w:rPr>
            </w:pPr>
            <w:r w:rsidRPr="009C0DA2">
              <w:rPr>
                <w:rFonts w:eastAsia="Times New Roman"/>
                <w:color w:val="000000"/>
                <w:sz w:val="24"/>
                <w:szCs w:val="24"/>
                <w:lang w:eastAsia="ru-RU"/>
              </w:rPr>
              <w:t>Рол-шторы, однотонные, установка на стену</w:t>
            </w:r>
          </w:p>
        </w:tc>
        <w:tc>
          <w:tcPr>
            <w:tcW w:w="113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left"/>
              <w:rPr>
                <w:rFonts w:eastAsia="Times New Roman"/>
                <w:color w:val="000000"/>
                <w:sz w:val="24"/>
                <w:szCs w:val="24"/>
                <w:lang w:eastAsia="ru-RU"/>
              </w:rPr>
            </w:pPr>
            <w:r w:rsidRPr="009C0DA2">
              <w:rPr>
                <w:rFonts w:eastAsia="Times New Roman"/>
                <w:color w:val="000000"/>
                <w:sz w:val="24"/>
                <w:szCs w:val="24"/>
                <w:lang w:eastAsia="ru-RU"/>
              </w:rPr>
              <w:t>Бежевый</w:t>
            </w:r>
          </w:p>
        </w:tc>
        <w:tc>
          <w:tcPr>
            <w:tcW w:w="144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2200*2200</w:t>
            </w:r>
          </w:p>
        </w:tc>
        <w:tc>
          <w:tcPr>
            <w:tcW w:w="687"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4,84</w:t>
            </w:r>
          </w:p>
        </w:tc>
        <w:tc>
          <w:tcPr>
            <w:tcW w:w="83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шт</w:t>
            </w:r>
          </w:p>
        </w:tc>
        <w:tc>
          <w:tcPr>
            <w:tcW w:w="862"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15</w:t>
            </w:r>
          </w:p>
        </w:tc>
        <w:tc>
          <w:tcPr>
            <w:tcW w:w="1049"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72,60</w:t>
            </w:r>
          </w:p>
        </w:tc>
        <w:tc>
          <w:tcPr>
            <w:tcW w:w="1166"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136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r>
      <w:tr w:rsidR="009C0DA2" w:rsidRPr="009C0DA2" w:rsidTr="00533FC7">
        <w:trPr>
          <w:trHeight w:val="315"/>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2</w:t>
            </w:r>
          </w:p>
        </w:tc>
        <w:tc>
          <w:tcPr>
            <w:tcW w:w="1753" w:type="dxa"/>
            <w:vMerge/>
            <w:tcBorders>
              <w:top w:val="nil"/>
              <w:left w:val="single" w:sz="4" w:space="0" w:color="auto"/>
              <w:bottom w:val="single" w:sz="4" w:space="0" w:color="auto"/>
              <w:right w:val="single" w:sz="4" w:space="0" w:color="auto"/>
            </w:tcBorders>
            <w:vAlign w:val="center"/>
            <w:hideMark/>
          </w:tcPr>
          <w:p w:rsidR="009C0DA2" w:rsidRPr="009C0DA2" w:rsidRDefault="009C0DA2" w:rsidP="009C0DA2">
            <w:pPr>
              <w:spacing w:before="0"/>
              <w:jc w:val="left"/>
              <w:rPr>
                <w:rFonts w:eastAsia="Times New Roman"/>
                <w:color w:val="000000"/>
                <w:sz w:val="24"/>
                <w:szCs w:val="24"/>
                <w:lang w:eastAsia="ru-RU"/>
              </w:rPr>
            </w:pPr>
          </w:p>
        </w:tc>
        <w:tc>
          <w:tcPr>
            <w:tcW w:w="113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left"/>
              <w:rPr>
                <w:rFonts w:eastAsia="Times New Roman"/>
                <w:color w:val="000000"/>
                <w:sz w:val="24"/>
                <w:szCs w:val="24"/>
                <w:lang w:eastAsia="ru-RU"/>
              </w:rPr>
            </w:pPr>
            <w:r w:rsidRPr="009C0DA2">
              <w:rPr>
                <w:rFonts w:eastAsia="Times New Roman"/>
                <w:color w:val="000000"/>
                <w:sz w:val="24"/>
                <w:szCs w:val="24"/>
                <w:lang w:eastAsia="ru-RU"/>
              </w:rPr>
              <w:t>Бежевый</w:t>
            </w:r>
          </w:p>
        </w:tc>
        <w:tc>
          <w:tcPr>
            <w:tcW w:w="144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2200*1800</w:t>
            </w:r>
          </w:p>
        </w:tc>
        <w:tc>
          <w:tcPr>
            <w:tcW w:w="687"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3,96</w:t>
            </w:r>
          </w:p>
        </w:tc>
        <w:tc>
          <w:tcPr>
            <w:tcW w:w="83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шт</w:t>
            </w:r>
          </w:p>
        </w:tc>
        <w:tc>
          <w:tcPr>
            <w:tcW w:w="862"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1</w:t>
            </w:r>
          </w:p>
        </w:tc>
        <w:tc>
          <w:tcPr>
            <w:tcW w:w="1049"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3,96</w:t>
            </w:r>
          </w:p>
        </w:tc>
        <w:tc>
          <w:tcPr>
            <w:tcW w:w="1166"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136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r>
      <w:tr w:rsidR="009C0DA2" w:rsidRPr="009C0DA2" w:rsidTr="00533FC7">
        <w:trPr>
          <w:trHeight w:val="315"/>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3</w:t>
            </w:r>
          </w:p>
        </w:tc>
        <w:tc>
          <w:tcPr>
            <w:tcW w:w="1753" w:type="dxa"/>
            <w:vMerge/>
            <w:tcBorders>
              <w:top w:val="nil"/>
              <w:left w:val="single" w:sz="4" w:space="0" w:color="auto"/>
              <w:bottom w:val="single" w:sz="4" w:space="0" w:color="auto"/>
              <w:right w:val="single" w:sz="4" w:space="0" w:color="auto"/>
            </w:tcBorders>
            <w:vAlign w:val="center"/>
            <w:hideMark/>
          </w:tcPr>
          <w:p w:rsidR="009C0DA2" w:rsidRPr="009C0DA2" w:rsidRDefault="009C0DA2" w:rsidP="009C0DA2">
            <w:pPr>
              <w:spacing w:before="0"/>
              <w:jc w:val="left"/>
              <w:rPr>
                <w:rFonts w:eastAsia="Times New Roman"/>
                <w:color w:val="000000"/>
                <w:sz w:val="24"/>
                <w:szCs w:val="24"/>
                <w:lang w:eastAsia="ru-RU"/>
              </w:rPr>
            </w:pPr>
          </w:p>
        </w:tc>
        <w:tc>
          <w:tcPr>
            <w:tcW w:w="113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left"/>
              <w:rPr>
                <w:rFonts w:eastAsia="Times New Roman"/>
                <w:color w:val="000000"/>
                <w:sz w:val="24"/>
                <w:szCs w:val="24"/>
                <w:lang w:eastAsia="ru-RU"/>
              </w:rPr>
            </w:pPr>
            <w:r w:rsidRPr="009C0DA2">
              <w:rPr>
                <w:rFonts w:eastAsia="Times New Roman"/>
                <w:color w:val="000000"/>
                <w:sz w:val="24"/>
                <w:szCs w:val="24"/>
                <w:lang w:eastAsia="ru-RU"/>
              </w:rPr>
              <w:t>Бежевый</w:t>
            </w:r>
          </w:p>
        </w:tc>
        <w:tc>
          <w:tcPr>
            <w:tcW w:w="144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2300*2500</w:t>
            </w:r>
          </w:p>
        </w:tc>
        <w:tc>
          <w:tcPr>
            <w:tcW w:w="687"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5,75</w:t>
            </w:r>
          </w:p>
        </w:tc>
        <w:tc>
          <w:tcPr>
            <w:tcW w:w="83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шт</w:t>
            </w:r>
          </w:p>
        </w:tc>
        <w:tc>
          <w:tcPr>
            <w:tcW w:w="862"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13</w:t>
            </w:r>
          </w:p>
        </w:tc>
        <w:tc>
          <w:tcPr>
            <w:tcW w:w="1049"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74,75</w:t>
            </w:r>
          </w:p>
        </w:tc>
        <w:tc>
          <w:tcPr>
            <w:tcW w:w="1166"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136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r>
      <w:tr w:rsidR="009C0DA2" w:rsidRPr="009C0DA2" w:rsidTr="00533FC7">
        <w:trPr>
          <w:trHeight w:val="315"/>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4</w:t>
            </w:r>
          </w:p>
        </w:tc>
        <w:tc>
          <w:tcPr>
            <w:tcW w:w="1753" w:type="dxa"/>
            <w:vMerge/>
            <w:tcBorders>
              <w:top w:val="nil"/>
              <w:left w:val="single" w:sz="4" w:space="0" w:color="auto"/>
              <w:bottom w:val="single" w:sz="4" w:space="0" w:color="auto"/>
              <w:right w:val="single" w:sz="4" w:space="0" w:color="auto"/>
            </w:tcBorders>
            <w:vAlign w:val="center"/>
            <w:hideMark/>
          </w:tcPr>
          <w:p w:rsidR="009C0DA2" w:rsidRPr="009C0DA2" w:rsidRDefault="009C0DA2" w:rsidP="009C0DA2">
            <w:pPr>
              <w:spacing w:before="0"/>
              <w:jc w:val="left"/>
              <w:rPr>
                <w:rFonts w:eastAsia="Times New Roman"/>
                <w:color w:val="000000"/>
                <w:sz w:val="24"/>
                <w:szCs w:val="24"/>
                <w:lang w:eastAsia="ru-RU"/>
              </w:rPr>
            </w:pPr>
          </w:p>
        </w:tc>
        <w:tc>
          <w:tcPr>
            <w:tcW w:w="113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left"/>
              <w:rPr>
                <w:rFonts w:eastAsia="Times New Roman"/>
                <w:color w:val="000000"/>
                <w:sz w:val="24"/>
                <w:szCs w:val="24"/>
                <w:lang w:eastAsia="ru-RU"/>
              </w:rPr>
            </w:pPr>
            <w:r w:rsidRPr="009C0DA2">
              <w:rPr>
                <w:rFonts w:eastAsia="Times New Roman"/>
                <w:color w:val="000000"/>
                <w:sz w:val="24"/>
                <w:szCs w:val="24"/>
                <w:lang w:eastAsia="ru-RU"/>
              </w:rPr>
              <w:t>Бежевый</w:t>
            </w:r>
          </w:p>
        </w:tc>
        <w:tc>
          <w:tcPr>
            <w:tcW w:w="144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2000*2500</w:t>
            </w:r>
          </w:p>
        </w:tc>
        <w:tc>
          <w:tcPr>
            <w:tcW w:w="687"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5,00</w:t>
            </w:r>
          </w:p>
        </w:tc>
        <w:tc>
          <w:tcPr>
            <w:tcW w:w="83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шт</w:t>
            </w:r>
          </w:p>
        </w:tc>
        <w:tc>
          <w:tcPr>
            <w:tcW w:w="862"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5</w:t>
            </w:r>
          </w:p>
        </w:tc>
        <w:tc>
          <w:tcPr>
            <w:tcW w:w="1049"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25,00</w:t>
            </w:r>
          </w:p>
        </w:tc>
        <w:tc>
          <w:tcPr>
            <w:tcW w:w="1166"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136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r>
      <w:tr w:rsidR="009C0DA2" w:rsidRPr="009C0DA2" w:rsidTr="00533FC7">
        <w:trPr>
          <w:trHeight w:val="315"/>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5</w:t>
            </w:r>
          </w:p>
        </w:tc>
        <w:tc>
          <w:tcPr>
            <w:tcW w:w="1753" w:type="dxa"/>
            <w:vMerge/>
            <w:tcBorders>
              <w:top w:val="nil"/>
              <w:left w:val="single" w:sz="4" w:space="0" w:color="auto"/>
              <w:bottom w:val="single" w:sz="4" w:space="0" w:color="auto"/>
              <w:right w:val="single" w:sz="4" w:space="0" w:color="auto"/>
            </w:tcBorders>
            <w:vAlign w:val="center"/>
            <w:hideMark/>
          </w:tcPr>
          <w:p w:rsidR="009C0DA2" w:rsidRPr="009C0DA2" w:rsidRDefault="009C0DA2" w:rsidP="009C0DA2">
            <w:pPr>
              <w:spacing w:before="0"/>
              <w:jc w:val="left"/>
              <w:rPr>
                <w:rFonts w:eastAsia="Times New Roman"/>
                <w:color w:val="000000"/>
                <w:sz w:val="24"/>
                <w:szCs w:val="24"/>
                <w:lang w:eastAsia="ru-RU"/>
              </w:rPr>
            </w:pPr>
          </w:p>
        </w:tc>
        <w:tc>
          <w:tcPr>
            <w:tcW w:w="113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left"/>
              <w:rPr>
                <w:rFonts w:eastAsia="Times New Roman"/>
                <w:color w:val="000000"/>
                <w:sz w:val="24"/>
                <w:szCs w:val="24"/>
                <w:lang w:eastAsia="ru-RU"/>
              </w:rPr>
            </w:pPr>
            <w:r w:rsidRPr="009C0DA2">
              <w:rPr>
                <w:rFonts w:eastAsia="Times New Roman"/>
                <w:color w:val="000000"/>
                <w:sz w:val="24"/>
                <w:szCs w:val="24"/>
                <w:lang w:eastAsia="ru-RU"/>
              </w:rPr>
              <w:t>Бежевый</w:t>
            </w:r>
          </w:p>
        </w:tc>
        <w:tc>
          <w:tcPr>
            <w:tcW w:w="144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1850*1200</w:t>
            </w:r>
          </w:p>
        </w:tc>
        <w:tc>
          <w:tcPr>
            <w:tcW w:w="687"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2,22</w:t>
            </w:r>
          </w:p>
        </w:tc>
        <w:tc>
          <w:tcPr>
            <w:tcW w:w="83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шт</w:t>
            </w:r>
          </w:p>
        </w:tc>
        <w:tc>
          <w:tcPr>
            <w:tcW w:w="862"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4</w:t>
            </w:r>
          </w:p>
        </w:tc>
        <w:tc>
          <w:tcPr>
            <w:tcW w:w="1049"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8,88</w:t>
            </w:r>
          </w:p>
        </w:tc>
        <w:tc>
          <w:tcPr>
            <w:tcW w:w="1166"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136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r>
      <w:tr w:rsidR="009C0DA2" w:rsidRPr="009C0DA2" w:rsidTr="00533FC7">
        <w:trPr>
          <w:trHeight w:val="315"/>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6</w:t>
            </w:r>
          </w:p>
        </w:tc>
        <w:tc>
          <w:tcPr>
            <w:tcW w:w="1753" w:type="dxa"/>
            <w:vMerge/>
            <w:tcBorders>
              <w:top w:val="nil"/>
              <w:left w:val="single" w:sz="4" w:space="0" w:color="auto"/>
              <w:bottom w:val="single" w:sz="4" w:space="0" w:color="auto"/>
              <w:right w:val="single" w:sz="4" w:space="0" w:color="auto"/>
            </w:tcBorders>
            <w:vAlign w:val="center"/>
            <w:hideMark/>
          </w:tcPr>
          <w:p w:rsidR="009C0DA2" w:rsidRPr="009C0DA2" w:rsidRDefault="009C0DA2" w:rsidP="009C0DA2">
            <w:pPr>
              <w:spacing w:before="0"/>
              <w:jc w:val="left"/>
              <w:rPr>
                <w:rFonts w:eastAsia="Times New Roman"/>
                <w:color w:val="000000"/>
                <w:sz w:val="24"/>
                <w:szCs w:val="24"/>
                <w:lang w:eastAsia="ru-RU"/>
              </w:rPr>
            </w:pPr>
          </w:p>
        </w:tc>
        <w:tc>
          <w:tcPr>
            <w:tcW w:w="113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left"/>
              <w:rPr>
                <w:rFonts w:eastAsia="Times New Roman"/>
                <w:color w:val="000000"/>
                <w:sz w:val="24"/>
                <w:szCs w:val="24"/>
                <w:lang w:eastAsia="ru-RU"/>
              </w:rPr>
            </w:pPr>
            <w:r w:rsidRPr="009C0DA2">
              <w:rPr>
                <w:rFonts w:eastAsia="Times New Roman"/>
                <w:color w:val="000000"/>
                <w:sz w:val="24"/>
                <w:szCs w:val="24"/>
                <w:lang w:eastAsia="ru-RU"/>
              </w:rPr>
              <w:t>Бежевый</w:t>
            </w:r>
          </w:p>
        </w:tc>
        <w:tc>
          <w:tcPr>
            <w:tcW w:w="144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2000*2100</w:t>
            </w:r>
          </w:p>
        </w:tc>
        <w:tc>
          <w:tcPr>
            <w:tcW w:w="687"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4,20</w:t>
            </w:r>
          </w:p>
        </w:tc>
        <w:tc>
          <w:tcPr>
            <w:tcW w:w="83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шт</w:t>
            </w:r>
          </w:p>
        </w:tc>
        <w:tc>
          <w:tcPr>
            <w:tcW w:w="862"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8</w:t>
            </w:r>
          </w:p>
        </w:tc>
        <w:tc>
          <w:tcPr>
            <w:tcW w:w="1049"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33,60</w:t>
            </w:r>
          </w:p>
        </w:tc>
        <w:tc>
          <w:tcPr>
            <w:tcW w:w="1166"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136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r>
      <w:tr w:rsidR="009C0DA2" w:rsidRPr="009C0DA2" w:rsidTr="00533FC7">
        <w:trPr>
          <w:trHeight w:val="315"/>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7</w:t>
            </w:r>
          </w:p>
        </w:tc>
        <w:tc>
          <w:tcPr>
            <w:tcW w:w="1753" w:type="dxa"/>
            <w:vMerge/>
            <w:tcBorders>
              <w:top w:val="nil"/>
              <w:left w:val="single" w:sz="4" w:space="0" w:color="auto"/>
              <w:bottom w:val="single" w:sz="4" w:space="0" w:color="auto"/>
              <w:right w:val="single" w:sz="4" w:space="0" w:color="auto"/>
            </w:tcBorders>
            <w:vAlign w:val="center"/>
            <w:hideMark/>
          </w:tcPr>
          <w:p w:rsidR="009C0DA2" w:rsidRPr="009C0DA2" w:rsidRDefault="009C0DA2" w:rsidP="009C0DA2">
            <w:pPr>
              <w:spacing w:before="0"/>
              <w:jc w:val="left"/>
              <w:rPr>
                <w:rFonts w:eastAsia="Times New Roman"/>
                <w:color w:val="000000"/>
                <w:sz w:val="24"/>
                <w:szCs w:val="24"/>
                <w:lang w:eastAsia="ru-RU"/>
              </w:rPr>
            </w:pPr>
          </w:p>
        </w:tc>
        <w:tc>
          <w:tcPr>
            <w:tcW w:w="113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left"/>
              <w:rPr>
                <w:rFonts w:eastAsia="Times New Roman"/>
                <w:color w:val="000000"/>
                <w:sz w:val="24"/>
                <w:szCs w:val="24"/>
                <w:lang w:eastAsia="ru-RU"/>
              </w:rPr>
            </w:pPr>
            <w:r w:rsidRPr="009C0DA2">
              <w:rPr>
                <w:rFonts w:eastAsia="Times New Roman"/>
                <w:color w:val="000000"/>
                <w:sz w:val="24"/>
                <w:szCs w:val="24"/>
                <w:lang w:eastAsia="ru-RU"/>
              </w:rPr>
              <w:t>Бежевый</w:t>
            </w:r>
          </w:p>
        </w:tc>
        <w:tc>
          <w:tcPr>
            <w:tcW w:w="144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1500*1800</w:t>
            </w:r>
          </w:p>
        </w:tc>
        <w:tc>
          <w:tcPr>
            <w:tcW w:w="687"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2,70</w:t>
            </w:r>
          </w:p>
        </w:tc>
        <w:tc>
          <w:tcPr>
            <w:tcW w:w="83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шт</w:t>
            </w:r>
          </w:p>
        </w:tc>
        <w:tc>
          <w:tcPr>
            <w:tcW w:w="862"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2</w:t>
            </w:r>
          </w:p>
        </w:tc>
        <w:tc>
          <w:tcPr>
            <w:tcW w:w="1049"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5,40</w:t>
            </w:r>
          </w:p>
        </w:tc>
        <w:tc>
          <w:tcPr>
            <w:tcW w:w="1166"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136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r>
      <w:tr w:rsidR="009C0DA2" w:rsidRPr="009C0DA2" w:rsidTr="00533FC7">
        <w:trPr>
          <w:trHeight w:val="315"/>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8</w:t>
            </w:r>
          </w:p>
        </w:tc>
        <w:tc>
          <w:tcPr>
            <w:tcW w:w="1753" w:type="dxa"/>
            <w:vMerge/>
            <w:tcBorders>
              <w:top w:val="nil"/>
              <w:left w:val="single" w:sz="4" w:space="0" w:color="auto"/>
              <w:bottom w:val="single" w:sz="4" w:space="0" w:color="auto"/>
              <w:right w:val="single" w:sz="4" w:space="0" w:color="auto"/>
            </w:tcBorders>
            <w:vAlign w:val="center"/>
            <w:hideMark/>
          </w:tcPr>
          <w:p w:rsidR="009C0DA2" w:rsidRPr="009C0DA2" w:rsidRDefault="009C0DA2" w:rsidP="009C0DA2">
            <w:pPr>
              <w:spacing w:before="0"/>
              <w:jc w:val="left"/>
              <w:rPr>
                <w:rFonts w:eastAsia="Times New Roman"/>
                <w:color w:val="000000"/>
                <w:sz w:val="24"/>
                <w:szCs w:val="24"/>
                <w:lang w:eastAsia="ru-RU"/>
              </w:rPr>
            </w:pPr>
          </w:p>
        </w:tc>
        <w:tc>
          <w:tcPr>
            <w:tcW w:w="113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left"/>
              <w:rPr>
                <w:rFonts w:eastAsia="Times New Roman"/>
                <w:color w:val="000000"/>
                <w:sz w:val="24"/>
                <w:szCs w:val="24"/>
                <w:lang w:eastAsia="ru-RU"/>
              </w:rPr>
            </w:pPr>
            <w:r w:rsidRPr="009C0DA2">
              <w:rPr>
                <w:rFonts w:eastAsia="Times New Roman"/>
                <w:color w:val="000000"/>
                <w:sz w:val="24"/>
                <w:szCs w:val="24"/>
                <w:lang w:eastAsia="ru-RU"/>
              </w:rPr>
              <w:t>Бежевый</w:t>
            </w:r>
          </w:p>
        </w:tc>
        <w:tc>
          <w:tcPr>
            <w:tcW w:w="144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1400*1800</w:t>
            </w:r>
          </w:p>
        </w:tc>
        <w:tc>
          <w:tcPr>
            <w:tcW w:w="687"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2,52</w:t>
            </w:r>
          </w:p>
        </w:tc>
        <w:tc>
          <w:tcPr>
            <w:tcW w:w="83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шт</w:t>
            </w:r>
          </w:p>
        </w:tc>
        <w:tc>
          <w:tcPr>
            <w:tcW w:w="862"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2</w:t>
            </w:r>
          </w:p>
        </w:tc>
        <w:tc>
          <w:tcPr>
            <w:tcW w:w="1049"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5,04</w:t>
            </w:r>
          </w:p>
        </w:tc>
        <w:tc>
          <w:tcPr>
            <w:tcW w:w="1166"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136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r>
      <w:tr w:rsidR="009C0DA2" w:rsidRPr="009C0DA2" w:rsidTr="00533FC7">
        <w:trPr>
          <w:trHeight w:val="315"/>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9</w:t>
            </w:r>
          </w:p>
        </w:tc>
        <w:tc>
          <w:tcPr>
            <w:tcW w:w="1753" w:type="dxa"/>
            <w:vMerge/>
            <w:tcBorders>
              <w:top w:val="nil"/>
              <w:left w:val="single" w:sz="4" w:space="0" w:color="auto"/>
              <w:bottom w:val="single" w:sz="4" w:space="0" w:color="auto"/>
              <w:right w:val="single" w:sz="4" w:space="0" w:color="auto"/>
            </w:tcBorders>
            <w:vAlign w:val="center"/>
            <w:hideMark/>
          </w:tcPr>
          <w:p w:rsidR="009C0DA2" w:rsidRPr="009C0DA2" w:rsidRDefault="009C0DA2" w:rsidP="009C0DA2">
            <w:pPr>
              <w:spacing w:before="0"/>
              <w:jc w:val="left"/>
              <w:rPr>
                <w:rFonts w:eastAsia="Times New Roman"/>
                <w:color w:val="000000"/>
                <w:sz w:val="24"/>
                <w:szCs w:val="24"/>
                <w:lang w:eastAsia="ru-RU"/>
              </w:rPr>
            </w:pPr>
          </w:p>
        </w:tc>
        <w:tc>
          <w:tcPr>
            <w:tcW w:w="113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left"/>
              <w:rPr>
                <w:rFonts w:eastAsia="Times New Roman"/>
                <w:color w:val="000000"/>
                <w:sz w:val="24"/>
                <w:szCs w:val="24"/>
                <w:lang w:eastAsia="ru-RU"/>
              </w:rPr>
            </w:pPr>
            <w:r w:rsidRPr="009C0DA2">
              <w:rPr>
                <w:rFonts w:eastAsia="Times New Roman"/>
                <w:color w:val="000000"/>
                <w:sz w:val="24"/>
                <w:szCs w:val="24"/>
                <w:lang w:eastAsia="ru-RU"/>
              </w:rPr>
              <w:t>Бежевый</w:t>
            </w:r>
          </w:p>
        </w:tc>
        <w:tc>
          <w:tcPr>
            <w:tcW w:w="144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2000*2100</w:t>
            </w:r>
          </w:p>
        </w:tc>
        <w:tc>
          <w:tcPr>
            <w:tcW w:w="687"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4,20</w:t>
            </w:r>
          </w:p>
        </w:tc>
        <w:tc>
          <w:tcPr>
            <w:tcW w:w="83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шт</w:t>
            </w:r>
          </w:p>
        </w:tc>
        <w:tc>
          <w:tcPr>
            <w:tcW w:w="862"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12</w:t>
            </w:r>
          </w:p>
        </w:tc>
        <w:tc>
          <w:tcPr>
            <w:tcW w:w="1049"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50,40</w:t>
            </w:r>
          </w:p>
        </w:tc>
        <w:tc>
          <w:tcPr>
            <w:tcW w:w="1166"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136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r>
      <w:tr w:rsidR="009C0DA2" w:rsidRPr="009C0DA2" w:rsidTr="00533FC7">
        <w:trPr>
          <w:trHeight w:val="315"/>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10</w:t>
            </w:r>
          </w:p>
        </w:tc>
        <w:tc>
          <w:tcPr>
            <w:tcW w:w="1753" w:type="dxa"/>
            <w:vMerge/>
            <w:tcBorders>
              <w:top w:val="nil"/>
              <w:left w:val="single" w:sz="4" w:space="0" w:color="auto"/>
              <w:bottom w:val="single" w:sz="4" w:space="0" w:color="auto"/>
              <w:right w:val="single" w:sz="4" w:space="0" w:color="auto"/>
            </w:tcBorders>
            <w:vAlign w:val="center"/>
            <w:hideMark/>
          </w:tcPr>
          <w:p w:rsidR="009C0DA2" w:rsidRPr="009C0DA2" w:rsidRDefault="009C0DA2" w:rsidP="009C0DA2">
            <w:pPr>
              <w:spacing w:before="0"/>
              <w:jc w:val="left"/>
              <w:rPr>
                <w:rFonts w:eastAsia="Times New Roman"/>
                <w:color w:val="000000"/>
                <w:sz w:val="24"/>
                <w:szCs w:val="24"/>
                <w:lang w:eastAsia="ru-RU"/>
              </w:rPr>
            </w:pPr>
          </w:p>
        </w:tc>
        <w:tc>
          <w:tcPr>
            <w:tcW w:w="113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left"/>
              <w:rPr>
                <w:rFonts w:eastAsia="Times New Roman"/>
                <w:color w:val="000000"/>
                <w:sz w:val="24"/>
                <w:szCs w:val="24"/>
                <w:lang w:eastAsia="ru-RU"/>
              </w:rPr>
            </w:pPr>
            <w:r w:rsidRPr="009C0DA2">
              <w:rPr>
                <w:rFonts w:eastAsia="Times New Roman"/>
                <w:color w:val="000000"/>
                <w:sz w:val="24"/>
                <w:szCs w:val="24"/>
                <w:lang w:eastAsia="ru-RU"/>
              </w:rPr>
              <w:t>Бежевый</w:t>
            </w:r>
          </w:p>
        </w:tc>
        <w:tc>
          <w:tcPr>
            <w:tcW w:w="144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2150*2200</w:t>
            </w:r>
          </w:p>
        </w:tc>
        <w:tc>
          <w:tcPr>
            <w:tcW w:w="687"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4,73</w:t>
            </w:r>
          </w:p>
        </w:tc>
        <w:tc>
          <w:tcPr>
            <w:tcW w:w="83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шт</w:t>
            </w:r>
          </w:p>
        </w:tc>
        <w:tc>
          <w:tcPr>
            <w:tcW w:w="862"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40</w:t>
            </w:r>
          </w:p>
        </w:tc>
        <w:tc>
          <w:tcPr>
            <w:tcW w:w="1049"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189,20</w:t>
            </w:r>
          </w:p>
        </w:tc>
        <w:tc>
          <w:tcPr>
            <w:tcW w:w="1166"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136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r>
      <w:tr w:rsidR="009C0DA2" w:rsidRPr="009C0DA2" w:rsidTr="00533FC7">
        <w:trPr>
          <w:trHeight w:val="315"/>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11</w:t>
            </w:r>
          </w:p>
        </w:tc>
        <w:tc>
          <w:tcPr>
            <w:tcW w:w="1753" w:type="dxa"/>
            <w:vMerge/>
            <w:tcBorders>
              <w:top w:val="nil"/>
              <w:left w:val="single" w:sz="4" w:space="0" w:color="auto"/>
              <w:bottom w:val="single" w:sz="4" w:space="0" w:color="auto"/>
              <w:right w:val="single" w:sz="4" w:space="0" w:color="auto"/>
            </w:tcBorders>
            <w:vAlign w:val="center"/>
            <w:hideMark/>
          </w:tcPr>
          <w:p w:rsidR="009C0DA2" w:rsidRPr="009C0DA2" w:rsidRDefault="009C0DA2" w:rsidP="009C0DA2">
            <w:pPr>
              <w:spacing w:before="0"/>
              <w:jc w:val="left"/>
              <w:rPr>
                <w:rFonts w:eastAsia="Times New Roman"/>
                <w:color w:val="000000"/>
                <w:sz w:val="24"/>
                <w:szCs w:val="24"/>
                <w:lang w:eastAsia="ru-RU"/>
              </w:rPr>
            </w:pPr>
          </w:p>
        </w:tc>
        <w:tc>
          <w:tcPr>
            <w:tcW w:w="113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left"/>
              <w:rPr>
                <w:rFonts w:eastAsia="Times New Roman"/>
                <w:color w:val="000000"/>
                <w:sz w:val="24"/>
                <w:szCs w:val="24"/>
                <w:lang w:eastAsia="ru-RU"/>
              </w:rPr>
            </w:pPr>
            <w:r w:rsidRPr="009C0DA2">
              <w:rPr>
                <w:rFonts w:eastAsia="Times New Roman"/>
                <w:color w:val="000000"/>
                <w:sz w:val="24"/>
                <w:szCs w:val="24"/>
                <w:lang w:eastAsia="ru-RU"/>
              </w:rPr>
              <w:t>Бежевый</w:t>
            </w:r>
          </w:p>
        </w:tc>
        <w:tc>
          <w:tcPr>
            <w:tcW w:w="1446"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1950*1950</w:t>
            </w:r>
          </w:p>
        </w:tc>
        <w:tc>
          <w:tcPr>
            <w:tcW w:w="687" w:type="dxa"/>
            <w:tcBorders>
              <w:top w:val="nil"/>
              <w:left w:val="nil"/>
              <w:bottom w:val="single" w:sz="4" w:space="0" w:color="auto"/>
              <w:right w:val="single" w:sz="4" w:space="0" w:color="auto"/>
            </w:tcBorders>
            <w:shd w:val="clear" w:color="auto" w:fill="auto"/>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3,80</w:t>
            </w:r>
          </w:p>
        </w:tc>
        <w:tc>
          <w:tcPr>
            <w:tcW w:w="83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шт</w:t>
            </w:r>
          </w:p>
        </w:tc>
        <w:tc>
          <w:tcPr>
            <w:tcW w:w="862"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2</w:t>
            </w:r>
          </w:p>
        </w:tc>
        <w:tc>
          <w:tcPr>
            <w:tcW w:w="1049"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color w:val="000000"/>
                <w:sz w:val="22"/>
                <w:szCs w:val="22"/>
                <w:lang w:eastAsia="ru-RU"/>
              </w:rPr>
            </w:pPr>
            <w:r w:rsidRPr="009C0DA2">
              <w:rPr>
                <w:rFonts w:eastAsia="Times New Roman"/>
                <w:color w:val="000000"/>
                <w:sz w:val="22"/>
                <w:szCs w:val="22"/>
                <w:lang w:eastAsia="ru-RU"/>
              </w:rPr>
              <w:t>7,61</w:t>
            </w:r>
          </w:p>
        </w:tc>
        <w:tc>
          <w:tcPr>
            <w:tcW w:w="1166"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136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r>
      <w:tr w:rsidR="009C0DA2" w:rsidRPr="009C0DA2" w:rsidTr="00533FC7">
        <w:trPr>
          <w:trHeight w:val="289"/>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eastAsia="Times New Roman"/>
                <w:b/>
                <w:bCs/>
                <w:color w:val="000000"/>
                <w:sz w:val="22"/>
                <w:szCs w:val="22"/>
                <w:lang w:eastAsia="ru-RU"/>
              </w:rPr>
            </w:pPr>
            <w:r w:rsidRPr="009C0DA2">
              <w:rPr>
                <w:rFonts w:eastAsia="Times New Roman"/>
                <w:b/>
                <w:bCs/>
                <w:color w:val="000000"/>
                <w:sz w:val="22"/>
                <w:szCs w:val="22"/>
                <w:lang w:eastAsia="ru-RU"/>
              </w:rPr>
              <w:t>Итого</w:t>
            </w:r>
          </w:p>
        </w:tc>
        <w:tc>
          <w:tcPr>
            <w:tcW w:w="1753"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eastAsia="Times New Roman"/>
                <w:color w:val="000000"/>
                <w:sz w:val="22"/>
                <w:szCs w:val="22"/>
                <w:lang w:eastAsia="ru-RU"/>
              </w:rPr>
            </w:pPr>
            <w:r w:rsidRPr="009C0DA2">
              <w:rPr>
                <w:rFonts w:eastAsia="Times New Roman"/>
                <w:color w:val="000000"/>
                <w:sz w:val="22"/>
                <w:szCs w:val="22"/>
                <w:lang w:eastAsia="ru-RU"/>
              </w:rPr>
              <w:t> </w:t>
            </w:r>
          </w:p>
        </w:tc>
        <w:tc>
          <w:tcPr>
            <w:tcW w:w="1136"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eastAsia="Times New Roman"/>
                <w:color w:val="000000"/>
                <w:sz w:val="22"/>
                <w:szCs w:val="22"/>
                <w:lang w:eastAsia="ru-RU"/>
              </w:rPr>
            </w:pPr>
            <w:r w:rsidRPr="009C0DA2">
              <w:rPr>
                <w:rFonts w:eastAsia="Times New Roman"/>
                <w:color w:val="000000"/>
                <w:sz w:val="22"/>
                <w:szCs w:val="22"/>
                <w:lang w:eastAsia="ru-RU"/>
              </w:rPr>
              <w:t> </w:t>
            </w:r>
          </w:p>
        </w:tc>
        <w:tc>
          <w:tcPr>
            <w:tcW w:w="1446"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eastAsia="Times New Roman"/>
                <w:color w:val="000000"/>
                <w:sz w:val="22"/>
                <w:szCs w:val="22"/>
                <w:lang w:eastAsia="ru-RU"/>
              </w:rPr>
            </w:pPr>
            <w:r w:rsidRPr="009C0DA2">
              <w:rPr>
                <w:rFonts w:eastAsia="Times New Roman"/>
                <w:color w:val="000000"/>
                <w:sz w:val="22"/>
                <w:szCs w:val="22"/>
                <w:lang w:eastAsia="ru-RU"/>
              </w:rPr>
              <w:t> </w:t>
            </w:r>
          </w:p>
        </w:tc>
        <w:tc>
          <w:tcPr>
            <w:tcW w:w="68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eastAsia="Times New Roman"/>
                <w:color w:val="000000"/>
                <w:sz w:val="22"/>
                <w:szCs w:val="22"/>
                <w:lang w:eastAsia="ru-RU"/>
              </w:rPr>
            </w:pPr>
            <w:r w:rsidRPr="009C0DA2">
              <w:rPr>
                <w:rFonts w:eastAsia="Times New Roman"/>
                <w:color w:val="000000"/>
                <w:sz w:val="22"/>
                <w:szCs w:val="22"/>
                <w:lang w:eastAsia="ru-RU"/>
              </w:rPr>
              <w:t> </w:t>
            </w:r>
          </w:p>
        </w:tc>
        <w:tc>
          <w:tcPr>
            <w:tcW w:w="83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color w:val="000000"/>
                <w:sz w:val="22"/>
                <w:szCs w:val="22"/>
                <w:lang w:eastAsia="ru-RU"/>
              </w:rPr>
            </w:pPr>
            <w:r w:rsidRPr="009C0DA2">
              <w:rPr>
                <w:rFonts w:eastAsia="Times New Roman"/>
                <w:color w:val="000000"/>
                <w:sz w:val="22"/>
                <w:szCs w:val="22"/>
                <w:lang w:eastAsia="ru-RU"/>
              </w:rPr>
              <w:t> </w:t>
            </w:r>
          </w:p>
        </w:tc>
        <w:tc>
          <w:tcPr>
            <w:tcW w:w="862"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center"/>
              <w:rPr>
                <w:rFonts w:eastAsia="Times New Roman"/>
                <w:b/>
                <w:bCs/>
                <w:color w:val="000000"/>
                <w:sz w:val="22"/>
                <w:szCs w:val="22"/>
                <w:lang w:eastAsia="ru-RU"/>
              </w:rPr>
            </w:pPr>
            <w:r w:rsidRPr="009C0DA2">
              <w:rPr>
                <w:rFonts w:eastAsia="Times New Roman"/>
                <w:b/>
                <w:bCs/>
                <w:color w:val="000000"/>
                <w:sz w:val="22"/>
                <w:szCs w:val="22"/>
                <w:lang w:eastAsia="ru-RU"/>
              </w:rPr>
              <w:t>104</w:t>
            </w:r>
          </w:p>
        </w:tc>
        <w:tc>
          <w:tcPr>
            <w:tcW w:w="1049"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right"/>
              <w:rPr>
                <w:rFonts w:eastAsia="Times New Roman"/>
                <w:b/>
                <w:bCs/>
                <w:color w:val="000000"/>
                <w:sz w:val="22"/>
                <w:szCs w:val="22"/>
                <w:lang w:eastAsia="ru-RU"/>
              </w:rPr>
            </w:pPr>
            <w:r w:rsidRPr="009C0DA2">
              <w:rPr>
                <w:rFonts w:eastAsia="Times New Roman"/>
                <w:b/>
                <w:bCs/>
                <w:color w:val="000000"/>
                <w:sz w:val="22"/>
                <w:szCs w:val="22"/>
                <w:lang w:eastAsia="ru-RU"/>
              </w:rPr>
              <w:t>476,44</w:t>
            </w:r>
          </w:p>
        </w:tc>
        <w:tc>
          <w:tcPr>
            <w:tcW w:w="1166"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1367" w:type="dxa"/>
            <w:tcBorders>
              <w:top w:val="nil"/>
              <w:left w:val="nil"/>
              <w:bottom w:val="single" w:sz="4" w:space="0" w:color="auto"/>
              <w:right w:val="single" w:sz="4" w:space="0" w:color="auto"/>
            </w:tcBorders>
            <w:shd w:val="clear" w:color="auto" w:fill="auto"/>
            <w:noWrap/>
            <w:vAlign w:val="center"/>
            <w:hideMark/>
          </w:tcPr>
          <w:p w:rsidR="009C0DA2" w:rsidRPr="009C0DA2" w:rsidRDefault="009C0DA2"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r>
      <w:tr w:rsidR="00533FC7" w:rsidRPr="009C0DA2" w:rsidTr="00533FC7">
        <w:trPr>
          <w:trHeight w:val="300"/>
        </w:trPr>
        <w:tc>
          <w:tcPr>
            <w:tcW w:w="2569" w:type="dxa"/>
            <w:gridSpan w:val="2"/>
            <w:tcBorders>
              <w:top w:val="nil"/>
              <w:left w:val="single" w:sz="4" w:space="0" w:color="auto"/>
              <w:bottom w:val="single" w:sz="4" w:space="0" w:color="auto"/>
              <w:right w:val="single" w:sz="4" w:space="0" w:color="auto"/>
            </w:tcBorders>
            <w:shd w:val="clear" w:color="auto" w:fill="auto"/>
            <w:noWrap/>
            <w:vAlign w:val="center"/>
            <w:hideMark/>
          </w:tcPr>
          <w:p w:rsidR="00533FC7" w:rsidRPr="009C0DA2" w:rsidRDefault="00533FC7" w:rsidP="009C0DA2">
            <w:pPr>
              <w:spacing w:before="0"/>
              <w:jc w:val="left"/>
              <w:rPr>
                <w:rFonts w:eastAsia="Times New Roman"/>
                <w:b/>
                <w:bCs/>
                <w:color w:val="000000"/>
                <w:sz w:val="22"/>
                <w:szCs w:val="22"/>
                <w:lang w:eastAsia="ru-RU"/>
              </w:rPr>
            </w:pPr>
            <w:r w:rsidRPr="009C0DA2">
              <w:rPr>
                <w:rFonts w:eastAsia="Times New Roman"/>
                <w:b/>
                <w:bCs/>
                <w:color w:val="000000"/>
                <w:sz w:val="22"/>
                <w:szCs w:val="22"/>
                <w:lang w:eastAsia="ru-RU"/>
              </w:rPr>
              <w:t>В том числе НДС</w:t>
            </w:r>
          </w:p>
          <w:p w:rsidR="00533FC7" w:rsidRPr="009C0DA2" w:rsidRDefault="00533FC7"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1136" w:type="dxa"/>
            <w:tcBorders>
              <w:top w:val="nil"/>
              <w:left w:val="nil"/>
              <w:bottom w:val="single" w:sz="4" w:space="0" w:color="auto"/>
              <w:right w:val="single" w:sz="4" w:space="0" w:color="auto"/>
            </w:tcBorders>
            <w:shd w:val="clear" w:color="auto" w:fill="auto"/>
            <w:noWrap/>
            <w:vAlign w:val="center"/>
            <w:hideMark/>
          </w:tcPr>
          <w:p w:rsidR="00533FC7" w:rsidRPr="009C0DA2" w:rsidRDefault="00533FC7"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1446" w:type="dxa"/>
            <w:tcBorders>
              <w:top w:val="nil"/>
              <w:left w:val="nil"/>
              <w:bottom w:val="single" w:sz="4" w:space="0" w:color="auto"/>
              <w:right w:val="single" w:sz="4" w:space="0" w:color="auto"/>
            </w:tcBorders>
            <w:shd w:val="clear" w:color="auto" w:fill="auto"/>
            <w:noWrap/>
            <w:vAlign w:val="center"/>
            <w:hideMark/>
          </w:tcPr>
          <w:p w:rsidR="00533FC7" w:rsidRPr="009C0DA2" w:rsidRDefault="00533FC7"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687" w:type="dxa"/>
            <w:tcBorders>
              <w:top w:val="nil"/>
              <w:left w:val="nil"/>
              <w:bottom w:val="single" w:sz="4" w:space="0" w:color="auto"/>
              <w:right w:val="single" w:sz="4" w:space="0" w:color="auto"/>
            </w:tcBorders>
            <w:shd w:val="clear" w:color="auto" w:fill="auto"/>
            <w:noWrap/>
            <w:vAlign w:val="center"/>
            <w:hideMark/>
          </w:tcPr>
          <w:p w:rsidR="00533FC7" w:rsidRPr="009C0DA2" w:rsidRDefault="00533FC7"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837" w:type="dxa"/>
            <w:tcBorders>
              <w:top w:val="nil"/>
              <w:left w:val="nil"/>
              <w:bottom w:val="single" w:sz="4" w:space="0" w:color="auto"/>
              <w:right w:val="single" w:sz="4" w:space="0" w:color="auto"/>
            </w:tcBorders>
            <w:shd w:val="clear" w:color="auto" w:fill="auto"/>
            <w:noWrap/>
            <w:vAlign w:val="center"/>
            <w:hideMark/>
          </w:tcPr>
          <w:p w:rsidR="00533FC7" w:rsidRPr="009C0DA2" w:rsidRDefault="00533FC7" w:rsidP="009C0DA2">
            <w:pPr>
              <w:spacing w:before="0"/>
              <w:jc w:val="center"/>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862" w:type="dxa"/>
            <w:tcBorders>
              <w:top w:val="nil"/>
              <w:left w:val="nil"/>
              <w:bottom w:val="single" w:sz="4" w:space="0" w:color="auto"/>
              <w:right w:val="single" w:sz="4" w:space="0" w:color="auto"/>
            </w:tcBorders>
            <w:shd w:val="clear" w:color="auto" w:fill="auto"/>
            <w:noWrap/>
            <w:vAlign w:val="center"/>
            <w:hideMark/>
          </w:tcPr>
          <w:p w:rsidR="00533FC7" w:rsidRPr="009C0DA2" w:rsidRDefault="00533FC7" w:rsidP="009C0DA2">
            <w:pPr>
              <w:spacing w:before="0"/>
              <w:jc w:val="center"/>
              <w:rPr>
                <w:rFonts w:ascii="Calibri" w:eastAsia="Times New Roman" w:hAnsi="Calibri"/>
                <w:b/>
                <w:bCs/>
                <w:color w:val="000000"/>
                <w:sz w:val="22"/>
                <w:szCs w:val="22"/>
                <w:lang w:eastAsia="ru-RU"/>
              </w:rPr>
            </w:pPr>
            <w:r w:rsidRPr="009C0DA2">
              <w:rPr>
                <w:rFonts w:ascii="Calibri" w:eastAsia="Times New Roman" w:hAnsi="Calibri"/>
                <w:b/>
                <w:bCs/>
                <w:color w:val="000000"/>
                <w:sz w:val="22"/>
                <w:szCs w:val="22"/>
                <w:lang w:eastAsia="ru-RU"/>
              </w:rPr>
              <w:t> </w:t>
            </w:r>
          </w:p>
        </w:tc>
        <w:tc>
          <w:tcPr>
            <w:tcW w:w="1049" w:type="dxa"/>
            <w:tcBorders>
              <w:top w:val="nil"/>
              <w:left w:val="nil"/>
              <w:bottom w:val="single" w:sz="4" w:space="0" w:color="auto"/>
              <w:right w:val="single" w:sz="4" w:space="0" w:color="auto"/>
            </w:tcBorders>
            <w:shd w:val="clear" w:color="auto" w:fill="auto"/>
            <w:noWrap/>
            <w:vAlign w:val="center"/>
            <w:hideMark/>
          </w:tcPr>
          <w:p w:rsidR="00533FC7" w:rsidRPr="009C0DA2" w:rsidRDefault="00533FC7" w:rsidP="009C0DA2">
            <w:pPr>
              <w:spacing w:before="0"/>
              <w:jc w:val="right"/>
              <w:rPr>
                <w:rFonts w:ascii="Calibri" w:eastAsia="Times New Roman" w:hAnsi="Calibri"/>
                <w:b/>
                <w:bCs/>
                <w:color w:val="000000"/>
                <w:sz w:val="22"/>
                <w:szCs w:val="22"/>
                <w:lang w:eastAsia="ru-RU"/>
              </w:rPr>
            </w:pPr>
            <w:r w:rsidRPr="009C0DA2">
              <w:rPr>
                <w:rFonts w:ascii="Calibri" w:eastAsia="Times New Roman" w:hAnsi="Calibri"/>
                <w:b/>
                <w:bCs/>
                <w:color w:val="000000"/>
                <w:sz w:val="22"/>
                <w:szCs w:val="22"/>
                <w:lang w:eastAsia="ru-RU"/>
              </w:rPr>
              <w:t> </w:t>
            </w:r>
          </w:p>
        </w:tc>
        <w:tc>
          <w:tcPr>
            <w:tcW w:w="1166" w:type="dxa"/>
            <w:tcBorders>
              <w:top w:val="nil"/>
              <w:left w:val="nil"/>
              <w:bottom w:val="single" w:sz="4" w:space="0" w:color="auto"/>
              <w:right w:val="single" w:sz="4" w:space="0" w:color="auto"/>
            </w:tcBorders>
            <w:shd w:val="clear" w:color="auto" w:fill="auto"/>
            <w:noWrap/>
            <w:vAlign w:val="center"/>
            <w:hideMark/>
          </w:tcPr>
          <w:p w:rsidR="00533FC7" w:rsidRPr="009C0DA2" w:rsidRDefault="00533FC7"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c>
          <w:tcPr>
            <w:tcW w:w="1367" w:type="dxa"/>
            <w:tcBorders>
              <w:top w:val="nil"/>
              <w:left w:val="nil"/>
              <w:bottom w:val="single" w:sz="4" w:space="0" w:color="auto"/>
              <w:right w:val="single" w:sz="4" w:space="0" w:color="auto"/>
            </w:tcBorders>
            <w:shd w:val="clear" w:color="auto" w:fill="auto"/>
            <w:noWrap/>
            <w:vAlign w:val="center"/>
            <w:hideMark/>
          </w:tcPr>
          <w:p w:rsidR="00533FC7" w:rsidRPr="009C0DA2" w:rsidRDefault="00533FC7" w:rsidP="009C0DA2">
            <w:pPr>
              <w:spacing w:before="0"/>
              <w:jc w:val="left"/>
              <w:rPr>
                <w:rFonts w:ascii="Calibri" w:eastAsia="Times New Roman" w:hAnsi="Calibri"/>
                <w:color w:val="000000"/>
                <w:sz w:val="22"/>
                <w:szCs w:val="22"/>
                <w:lang w:eastAsia="ru-RU"/>
              </w:rPr>
            </w:pPr>
            <w:r w:rsidRPr="009C0DA2">
              <w:rPr>
                <w:rFonts w:ascii="Calibri" w:eastAsia="Times New Roman" w:hAnsi="Calibri"/>
                <w:color w:val="000000"/>
                <w:sz w:val="22"/>
                <w:szCs w:val="22"/>
                <w:lang w:eastAsia="ru-RU"/>
              </w:rPr>
              <w:t> </w:t>
            </w:r>
          </w:p>
        </w:tc>
      </w:tr>
    </w:tbl>
    <w:p w:rsidR="0096532F" w:rsidRDefault="0096532F" w:rsidP="00EF70FD"/>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Pr="00533FC7" w:rsidRDefault="00FC2B06" w:rsidP="00FC2B06">
      <w:pPr>
        <w:spacing w:line="276" w:lineRule="auto"/>
        <w:contextualSpacing/>
        <w:jc w:val="center"/>
        <w:rPr>
          <w:b/>
          <w:sz w:val="24"/>
          <w:szCs w:val="24"/>
        </w:rPr>
      </w:pPr>
    </w:p>
    <w:p w:rsidR="00D52DDB" w:rsidRDefault="000C5172" w:rsidP="00CE07CB">
      <w:pPr>
        <w:keepNext/>
        <w:spacing w:before="240"/>
        <w:outlineLvl w:val="2"/>
        <w:rPr>
          <w:b/>
        </w:rPr>
      </w:pPr>
      <w:bookmarkStart w:id="333" w:name="_Toc67580156"/>
      <w:r>
        <w:rPr>
          <w:b/>
        </w:rPr>
        <w:lastRenderedPageBreak/>
        <w:t>ПРИЛОЖЕНИЕ </w:t>
      </w:r>
      <w:r w:rsidR="005D4845">
        <w:rPr>
          <w:b/>
        </w:rPr>
        <w:t>2</w:t>
      </w:r>
      <w:r w:rsidR="0026500B" w:rsidRPr="0053364D">
        <w:rPr>
          <w:b/>
        </w:rPr>
        <w:t>:</w:t>
      </w:r>
      <w:bookmarkStart w:id="334" w:name="_Toc67580157"/>
      <w:bookmarkEnd w:id="333"/>
      <w:r w:rsidR="00CE07CB">
        <w:rPr>
          <w:b/>
        </w:rPr>
        <w:t xml:space="preserve"> </w:t>
      </w:r>
      <w:r w:rsidR="00D52DDB" w:rsidRPr="002B4057">
        <w:rPr>
          <w:b/>
        </w:rPr>
        <w:t>Сведени</w:t>
      </w:r>
      <w:r w:rsidR="00D52DDB">
        <w:rPr>
          <w:b/>
        </w:rPr>
        <w:t>я</w:t>
      </w:r>
      <w:r w:rsidR="00D52DDB" w:rsidRPr="002B4057">
        <w:rPr>
          <w:b/>
        </w:rPr>
        <w:t xml:space="preserve"> о начальной (максимальной) цене единицы товара, работы, услуги</w:t>
      </w:r>
      <w:bookmarkEnd w:id="334"/>
    </w:p>
    <w:tbl>
      <w:tblPr>
        <w:tblW w:w="10109" w:type="dxa"/>
        <w:tblInd w:w="-5" w:type="dxa"/>
        <w:tblLook w:val="04A0" w:firstRow="1" w:lastRow="0" w:firstColumn="1" w:lastColumn="0" w:noHBand="0" w:noVBand="1"/>
      </w:tblPr>
      <w:tblGrid>
        <w:gridCol w:w="417"/>
        <w:gridCol w:w="4119"/>
        <w:gridCol w:w="1194"/>
        <w:gridCol w:w="709"/>
        <w:gridCol w:w="880"/>
        <w:gridCol w:w="1230"/>
        <w:gridCol w:w="1560"/>
      </w:tblGrid>
      <w:tr w:rsidR="00EA1FD1" w:rsidRPr="00EA1FD1" w:rsidTr="00EA1FD1">
        <w:trPr>
          <w:trHeight w:val="48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1FD1" w:rsidRPr="00EA1FD1" w:rsidRDefault="00EA1FD1" w:rsidP="00EA1FD1">
            <w:pPr>
              <w:spacing w:before="0"/>
              <w:jc w:val="center"/>
              <w:rPr>
                <w:rFonts w:eastAsia="Times New Roman"/>
                <w:b/>
                <w:bCs/>
                <w:color w:val="000000"/>
                <w:sz w:val="20"/>
                <w:szCs w:val="20"/>
                <w:lang w:eastAsia="ru-RU"/>
              </w:rPr>
            </w:pPr>
            <w:r w:rsidRPr="00EA1FD1">
              <w:rPr>
                <w:rFonts w:eastAsia="Times New Roman"/>
                <w:b/>
                <w:bCs/>
                <w:color w:val="000000"/>
                <w:sz w:val="20"/>
                <w:szCs w:val="20"/>
                <w:lang w:eastAsia="ru-RU"/>
              </w:rPr>
              <w:t>№</w:t>
            </w:r>
          </w:p>
        </w:tc>
        <w:tc>
          <w:tcPr>
            <w:tcW w:w="4119" w:type="dxa"/>
            <w:tcBorders>
              <w:top w:val="single" w:sz="4" w:space="0" w:color="auto"/>
              <w:left w:val="nil"/>
              <w:bottom w:val="single" w:sz="4" w:space="0" w:color="auto"/>
              <w:right w:val="single" w:sz="4" w:space="0" w:color="auto"/>
            </w:tcBorders>
            <w:shd w:val="clear" w:color="auto" w:fill="auto"/>
            <w:vAlign w:val="center"/>
            <w:hideMark/>
          </w:tcPr>
          <w:p w:rsidR="00EA1FD1" w:rsidRPr="00EA1FD1" w:rsidRDefault="00EA1FD1" w:rsidP="00EA1FD1">
            <w:pPr>
              <w:spacing w:before="0"/>
              <w:jc w:val="center"/>
              <w:rPr>
                <w:rFonts w:eastAsia="Times New Roman"/>
                <w:b/>
                <w:bCs/>
                <w:color w:val="000000"/>
                <w:sz w:val="20"/>
                <w:szCs w:val="20"/>
                <w:lang w:eastAsia="ru-RU"/>
              </w:rPr>
            </w:pPr>
            <w:r w:rsidRPr="00EA1FD1">
              <w:rPr>
                <w:rFonts w:eastAsia="Times New Roman"/>
                <w:b/>
                <w:bCs/>
                <w:color w:val="000000"/>
                <w:sz w:val="20"/>
                <w:szCs w:val="20"/>
                <w:lang w:eastAsia="ru-RU"/>
              </w:rPr>
              <w:t>Наименование</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rsidR="00EA1FD1" w:rsidRPr="00EA1FD1" w:rsidRDefault="00EA1FD1" w:rsidP="00EA1FD1">
            <w:pPr>
              <w:spacing w:before="0"/>
              <w:jc w:val="center"/>
              <w:rPr>
                <w:rFonts w:eastAsia="Times New Roman"/>
                <w:b/>
                <w:bCs/>
                <w:color w:val="000000"/>
                <w:sz w:val="20"/>
                <w:szCs w:val="20"/>
                <w:lang w:eastAsia="ru-RU"/>
              </w:rPr>
            </w:pPr>
            <w:r w:rsidRPr="00EA1FD1">
              <w:rPr>
                <w:rFonts w:eastAsia="Times New Roman"/>
                <w:b/>
                <w:bCs/>
                <w:color w:val="000000"/>
                <w:sz w:val="20"/>
                <w:szCs w:val="20"/>
                <w:lang w:eastAsia="ru-RU"/>
              </w:rPr>
              <w:t>Цвет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EA1FD1" w:rsidRPr="00EA1FD1" w:rsidRDefault="00EA1FD1" w:rsidP="00EA1FD1">
            <w:pPr>
              <w:spacing w:before="0"/>
              <w:jc w:val="left"/>
              <w:rPr>
                <w:rFonts w:eastAsia="Times New Roman"/>
                <w:b/>
                <w:bCs/>
                <w:color w:val="000000"/>
                <w:sz w:val="20"/>
                <w:szCs w:val="20"/>
                <w:lang w:eastAsia="ru-RU"/>
              </w:rPr>
            </w:pPr>
            <w:r w:rsidRPr="00EA1FD1">
              <w:rPr>
                <w:rFonts w:eastAsia="Times New Roman"/>
                <w:b/>
                <w:bCs/>
                <w:color w:val="000000"/>
                <w:sz w:val="20"/>
                <w:szCs w:val="20"/>
                <w:lang w:eastAsia="ru-RU"/>
              </w:rPr>
              <w:t>Ед. изм.</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EA1FD1" w:rsidRPr="00EA1FD1" w:rsidRDefault="00EA1FD1" w:rsidP="00EA1FD1">
            <w:pPr>
              <w:spacing w:before="0"/>
              <w:jc w:val="left"/>
              <w:rPr>
                <w:rFonts w:eastAsia="Times New Roman"/>
                <w:b/>
                <w:bCs/>
                <w:color w:val="000000"/>
                <w:sz w:val="20"/>
                <w:szCs w:val="20"/>
                <w:lang w:eastAsia="ru-RU"/>
              </w:rPr>
            </w:pPr>
            <w:r w:rsidRPr="00EA1FD1">
              <w:rPr>
                <w:rFonts w:eastAsia="Times New Roman"/>
                <w:b/>
                <w:bCs/>
                <w:color w:val="000000"/>
                <w:sz w:val="20"/>
                <w:szCs w:val="20"/>
                <w:lang w:eastAsia="ru-RU"/>
              </w:rPr>
              <w:t>Кол-во</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EA1FD1" w:rsidRPr="00EA1FD1" w:rsidRDefault="00EA1FD1" w:rsidP="00EA1FD1">
            <w:pPr>
              <w:spacing w:before="0"/>
              <w:jc w:val="center"/>
              <w:rPr>
                <w:rFonts w:eastAsia="Times New Roman"/>
                <w:b/>
                <w:bCs/>
                <w:color w:val="000000"/>
                <w:sz w:val="18"/>
                <w:szCs w:val="18"/>
                <w:lang w:eastAsia="ru-RU"/>
              </w:rPr>
            </w:pPr>
            <w:r w:rsidRPr="00EA1FD1">
              <w:rPr>
                <w:rFonts w:eastAsia="Times New Roman"/>
                <w:b/>
                <w:bCs/>
                <w:color w:val="000000"/>
                <w:sz w:val="18"/>
                <w:szCs w:val="18"/>
                <w:lang w:eastAsia="ru-RU"/>
              </w:rPr>
              <w:t>Цена (руб.)</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A1FD1" w:rsidRPr="00EA1FD1" w:rsidRDefault="00EA1FD1" w:rsidP="00EA1FD1">
            <w:pPr>
              <w:spacing w:before="0"/>
              <w:jc w:val="center"/>
              <w:rPr>
                <w:rFonts w:eastAsia="Times New Roman"/>
                <w:b/>
                <w:bCs/>
                <w:color w:val="000000"/>
                <w:sz w:val="18"/>
                <w:szCs w:val="18"/>
                <w:lang w:eastAsia="ru-RU"/>
              </w:rPr>
            </w:pPr>
            <w:r w:rsidRPr="00EA1FD1">
              <w:rPr>
                <w:rFonts w:eastAsia="Times New Roman"/>
                <w:b/>
                <w:bCs/>
                <w:color w:val="000000"/>
                <w:sz w:val="18"/>
                <w:szCs w:val="18"/>
                <w:lang w:eastAsia="ru-RU"/>
              </w:rPr>
              <w:t>Стоимость, с НДС (руб.)</w:t>
            </w:r>
          </w:p>
        </w:tc>
      </w:tr>
      <w:tr w:rsidR="00EA1FD1" w:rsidRPr="00EA1FD1" w:rsidTr="00EA1FD1">
        <w:trPr>
          <w:trHeight w:val="90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EA1FD1" w:rsidRPr="00EA1FD1" w:rsidRDefault="00EA1FD1" w:rsidP="00EA1FD1">
            <w:pPr>
              <w:spacing w:before="0"/>
              <w:jc w:val="right"/>
              <w:rPr>
                <w:rFonts w:eastAsia="Times New Roman"/>
                <w:color w:val="000000"/>
                <w:sz w:val="24"/>
                <w:szCs w:val="24"/>
                <w:lang w:eastAsia="ru-RU"/>
              </w:rPr>
            </w:pPr>
            <w:r w:rsidRPr="00EA1FD1">
              <w:rPr>
                <w:rFonts w:eastAsia="Times New Roman"/>
                <w:color w:val="000000"/>
                <w:sz w:val="24"/>
                <w:szCs w:val="24"/>
                <w:lang w:eastAsia="ru-RU"/>
              </w:rPr>
              <w:t>1</w:t>
            </w:r>
          </w:p>
        </w:tc>
        <w:tc>
          <w:tcPr>
            <w:tcW w:w="4119" w:type="dxa"/>
            <w:tcBorders>
              <w:top w:val="nil"/>
              <w:left w:val="nil"/>
              <w:bottom w:val="single" w:sz="4" w:space="0" w:color="auto"/>
              <w:right w:val="single" w:sz="4" w:space="0" w:color="auto"/>
            </w:tcBorders>
            <w:shd w:val="clear" w:color="auto" w:fill="auto"/>
            <w:vAlign w:val="center"/>
            <w:hideMark/>
          </w:tcPr>
          <w:p w:rsidR="00EA1FD1" w:rsidRPr="00EA1FD1" w:rsidRDefault="00EA1FD1" w:rsidP="00EA1FD1">
            <w:pPr>
              <w:spacing w:before="0"/>
              <w:jc w:val="left"/>
              <w:rPr>
                <w:rFonts w:eastAsia="Times New Roman"/>
                <w:color w:val="000000"/>
                <w:sz w:val="24"/>
                <w:szCs w:val="24"/>
                <w:lang w:eastAsia="ru-RU"/>
              </w:rPr>
            </w:pPr>
            <w:r w:rsidRPr="00EA1FD1">
              <w:rPr>
                <w:rFonts w:eastAsia="Times New Roman"/>
                <w:color w:val="000000"/>
                <w:sz w:val="24"/>
                <w:szCs w:val="24"/>
                <w:lang w:eastAsia="ru-RU"/>
              </w:rPr>
              <w:t>Рол-шторы, однотонные, установка на стену</w:t>
            </w:r>
          </w:p>
        </w:tc>
        <w:tc>
          <w:tcPr>
            <w:tcW w:w="1194" w:type="dxa"/>
            <w:tcBorders>
              <w:top w:val="nil"/>
              <w:left w:val="nil"/>
              <w:bottom w:val="single" w:sz="4" w:space="0" w:color="auto"/>
              <w:right w:val="single" w:sz="4" w:space="0" w:color="auto"/>
            </w:tcBorders>
            <w:shd w:val="clear" w:color="auto" w:fill="auto"/>
            <w:vAlign w:val="center"/>
            <w:hideMark/>
          </w:tcPr>
          <w:p w:rsidR="00EA1FD1" w:rsidRPr="00EA1FD1" w:rsidRDefault="00EA1FD1" w:rsidP="00EA1FD1">
            <w:pPr>
              <w:spacing w:before="0"/>
              <w:jc w:val="left"/>
              <w:rPr>
                <w:rFonts w:eastAsia="Times New Roman"/>
                <w:color w:val="000000"/>
                <w:sz w:val="24"/>
                <w:szCs w:val="24"/>
                <w:lang w:eastAsia="ru-RU"/>
              </w:rPr>
            </w:pPr>
            <w:r w:rsidRPr="00EA1FD1">
              <w:rPr>
                <w:rFonts w:eastAsia="Times New Roman"/>
                <w:color w:val="000000"/>
                <w:sz w:val="24"/>
                <w:szCs w:val="24"/>
                <w:lang w:eastAsia="ru-RU"/>
              </w:rPr>
              <w:t>Бежевый</w:t>
            </w:r>
          </w:p>
        </w:tc>
        <w:tc>
          <w:tcPr>
            <w:tcW w:w="709" w:type="dxa"/>
            <w:tcBorders>
              <w:top w:val="nil"/>
              <w:left w:val="nil"/>
              <w:bottom w:val="single" w:sz="4" w:space="0" w:color="auto"/>
              <w:right w:val="single" w:sz="4" w:space="0" w:color="auto"/>
            </w:tcBorders>
            <w:shd w:val="clear" w:color="auto" w:fill="auto"/>
            <w:vAlign w:val="center"/>
            <w:hideMark/>
          </w:tcPr>
          <w:p w:rsidR="00EA1FD1" w:rsidRPr="00EA1FD1" w:rsidRDefault="00EA1FD1" w:rsidP="00EA1FD1">
            <w:pPr>
              <w:spacing w:before="0"/>
              <w:jc w:val="left"/>
              <w:rPr>
                <w:rFonts w:eastAsia="Times New Roman"/>
                <w:color w:val="000000"/>
                <w:sz w:val="24"/>
                <w:szCs w:val="24"/>
                <w:lang w:eastAsia="ru-RU"/>
              </w:rPr>
            </w:pPr>
            <w:r w:rsidRPr="00EA1FD1">
              <w:rPr>
                <w:rFonts w:eastAsia="Times New Roman"/>
                <w:color w:val="000000"/>
                <w:sz w:val="24"/>
                <w:szCs w:val="24"/>
                <w:lang w:eastAsia="ru-RU"/>
              </w:rPr>
              <w:t>м2</w:t>
            </w:r>
          </w:p>
        </w:tc>
        <w:tc>
          <w:tcPr>
            <w:tcW w:w="880" w:type="dxa"/>
            <w:tcBorders>
              <w:top w:val="nil"/>
              <w:left w:val="nil"/>
              <w:bottom w:val="single" w:sz="4" w:space="0" w:color="auto"/>
              <w:right w:val="single" w:sz="4" w:space="0" w:color="auto"/>
            </w:tcBorders>
            <w:shd w:val="clear" w:color="auto" w:fill="auto"/>
            <w:noWrap/>
            <w:vAlign w:val="center"/>
            <w:hideMark/>
          </w:tcPr>
          <w:p w:rsidR="00EA1FD1" w:rsidRPr="00EA1FD1" w:rsidRDefault="00EA1FD1" w:rsidP="00EA1FD1">
            <w:pPr>
              <w:spacing w:before="0"/>
              <w:jc w:val="right"/>
              <w:rPr>
                <w:rFonts w:eastAsia="Times New Roman"/>
                <w:color w:val="000000"/>
                <w:sz w:val="24"/>
                <w:szCs w:val="24"/>
                <w:lang w:eastAsia="ru-RU"/>
              </w:rPr>
            </w:pPr>
            <w:r w:rsidRPr="00EA1FD1">
              <w:rPr>
                <w:rFonts w:eastAsia="Times New Roman"/>
                <w:color w:val="000000"/>
                <w:sz w:val="24"/>
                <w:szCs w:val="24"/>
                <w:lang w:eastAsia="ru-RU"/>
              </w:rPr>
              <w:t>476,44</w:t>
            </w:r>
          </w:p>
        </w:tc>
        <w:tc>
          <w:tcPr>
            <w:tcW w:w="1230" w:type="dxa"/>
            <w:tcBorders>
              <w:top w:val="nil"/>
              <w:left w:val="nil"/>
              <w:bottom w:val="nil"/>
              <w:right w:val="single" w:sz="4" w:space="0" w:color="auto"/>
            </w:tcBorders>
            <w:shd w:val="clear" w:color="auto" w:fill="auto"/>
            <w:noWrap/>
            <w:vAlign w:val="center"/>
            <w:hideMark/>
          </w:tcPr>
          <w:p w:rsidR="00EA1FD1" w:rsidRPr="00EA1FD1" w:rsidRDefault="00EA1FD1" w:rsidP="00EA1FD1">
            <w:pPr>
              <w:spacing w:before="0"/>
              <w:jc w:val="right"/>
              <w:rPr>
                <w:rFonts w:eastAsia="Times New Roman"/>
                <w:color w:val="000000"/>
                <w:sz w:val="24"/>
                <w:szCs w:val="24"/>
                <w:lang w:eastAsia="ru-RU"/>
              </w:rPr>
            </w:pPr>
            <w:r w:rsidRPr="00EA1FD1">
              <w:rPr>
                <w:rFonts w:eastAsia="Times New Roman"/>
                <w:color w:val="000000"/>
                <w:sz w:val="24"/>
                <w:szCs w:val="24"/>
                <w:lang w:eastAsia="ru-RU"/>
              </w:rPr>
              <w:t>1 108,65</w:t>
            </w:r>
          </w:p>
        </w:tc>
        <w:tc>
          <w:tcPr>
            <w:tcW w:w="1560" w:type="dxa"/>
            <w:tcBorders>
              <w:top w:val="nil"/>
              <w:left w:val="nil"/>
              <w:bottom w:val="nil"/>
              <w:right w:val="single" w:sz="4" w:space="0" w:color="auto"/>
            </w:tcBorders>
            <w:shd w:val="clear" w:color="auto" w:fill="auto"/>
            <w:vAlign w:val="center"/>
            <w:hideMark/>
          </w:tcPr>
          <w:p w:rsidR="00EA1FD1" w:rsidRPr="00EA1FD1" w:rsidRDefault="00EA1FD1" w:rsidP="00EA1FD1">
            <w:pPr>
              <w:spacing w:before="0"/>
              <w:jc w:val="right"/>
              <w:rPr>
                <w:rFonts w:eastAsia="Times New Roman"/>
                <w:color w:val="000000"/>
                <w:sz w:val="24"/>
                <w:szCs w:val="24"/>
                <w:lang w:eastAsia="ru-RU"/>
              </w:rPr>
            </w:pPr>
            <w:r w:rsidRPr="00EA1FD1">
              <w:rPr>
                <w:rFonts w:eastAsia="Times New Roman"/>
                <w:color w:val="000000"/>
                <w:sz w:val="24"/>
                <w:szCs w:val="24"/>
                <w:lang w:eastAsia="ru-RU"/>
              </w:rPr>
              <w:t>528 205,21</w:t>
            </w:r>
          </w:p>
        </w:tc>
      </w:tr>
      <w:tr w:rsidR="00EA1FD1" w:rsidRPr="00EA1FD1" w:rsidTr="00EA1FD1">
        <w:trPr>
          <w:trHeight w:val="315"/>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EA1FD1" w:rsidRPr="00EA1FD1" w:rsidRDefault="00EA1FD1" w:rsidP="00EA1FD1">
            <w:pPr>
              <w:spacing w:before="0"/>
              <w:jc w:val="center"/>
              <w:rPr>
                <w:rFonts w:eastAsia="Times New Roman"/>
                <w:color w:val="000000"/>
                <w:sz w:val="24"/>
                <w:szCs w:val="24"/>
                <w:lang w:eastAsia="ru-RU"/>
              </w:rPr>
            </w:pPr>
            <w:r w:rsidRPr="00EA1FD1">
              <w:rPr>
                <w:rFonts w:eastAsia="Times New Roman"/>
                <w:color w:val="000000"/>
                <w:sz w:val="24"/>
                <w:szCs w:val="24"/>
                <w:lang w:eastAsia="ru-RU"/>
              </w:rPr>
              <w:t> </w:t>
            </w:r>
          </w:p>
        </w:tc>
        <w:tc>
          <w:tcPr>
            <w:tcW w:w="4119" w:type="dxa"/>
            <w:tcBorders>
              <w:top w:val="nil"/>
              <w:left w:val="nil"/>
              <w:bottom w:val="single" w:sz="4" w:space="0" w:color="auto"/>
              <w:right w:val="single" w:sz="4" w:space="0" w:color="auto"/>
            </w:tcBorders>
            <w:shd w:val="clear" w:color="auto" w:fill="auto"/>
            <w:noWrap/>
            <w:vAlign w:val="bottom"/>
            <w:hideMark/>
          </w:tcPr>
          <w:p w:rsidR="00EA1FD1" w:rsidRPr="00EA1FD1" w:rsidRDefault="00EA1FD1" w:rsidP="00EA1FD1">
            <w:pPr>
              <w:spacing w:before="0"/>
              <w:jc w:val="left"/>
              <w:rPr>
                <w:rFonts w:eastAsia="Times New Roman"/>
                <w:b/>
                <w:bCs/>
                <w:color w:val="000000"/>
                <w:sz w:val="22"/>
                <w:szCs w:val="22"/>
                <w:lang w:eastAsia="ru-RU"/>
              </w:rPr>
            </w:pPr>
            <w:r w:rsidRPr="00EA1FD1">
              <w:rPr>
                <w:rFonts w:eastAsia="Times New Roman"/>
                <w:b/>
                <w:bCs/>
                <w:color w:val="000000"/>
                <w:sz w:val="22"/>
                <w:szCs w:val="22"/>
                <w:lang w:eastAsia="ru-RU"/>
              </w:rPr>
              <w:t>Итого</w:t>
            </w:r>
          </w:p>
        </w:tc>
        <w:tc>
          <w:tcPr>
            <w:tcW w:w="1194" w:type="dxa"/>
            <w:tcBorders>
              <w:top w:val="nil"/>
              <w:left w:val="nil"/>
              <w:bottom w:val="single" w:sz="4" w:space="0" w:color="auto"/>
              <w:right w:val="single" w:sz="4" w:space="0" w:color="auto"/>
            </w:tcBorders>
            <w:shd w:val="clear" w:color="auto" w:fill="auto"/>
            <w:vAlign w:val="center"/>
            <w:hideMark/>
          </w:tcPr>
          <w:p w:rsidR="00EA1FD1" w:rsidRPr="00EA1FD1" w:rsidRDefault="00EA1FD1" w:rsidP="00EA1FD1">
            <w:pPr>
              <w:spacing w:before="0"/>
              <w:jc w:val="center"/>
              <w:rPr>
                <w:rFonts w:eastAsia="Times New Roman"/>
                <w:color w:val="000000"/>
                <w:sz w:val="24"/>
                <w:szCs w:val="24"/>
                <w:lang w:eastAsia="ru-RU"/>
              </w:rPr>
            </w:pPr>
            <w:r w:rsidRPr="00EA1FD1">
              <w:rPr>
                <w:rFonts w:eastAsia="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A1FD1" w:rsidRPr="00EA1FD1" w:rsidRDefault="00EA1FD1" w:rsidP="00EA1FD1">
            <w:pPr>
              <w:spacing w:before="0"/>
              <w:jc w:val="center"/>
              <w:rPr>
                <w:rFonts w:eastAsia="Times New Roman"/>
                <w:color w:val="000000"/>
                <w:sz w:val="24"/>
                <w:szCs w:val="24"/>
                <w:lang w:eastAsia="ru-RU"/>
              </w:rPr>
            </w:pPr>
            <w:r w:rsidRPr="00EA1FD1">
              <w:rPr>
                <w:rFonts w:eastAsia="Times New Roman"/>
                <w:color w:val="000000"/>
                <w:sz w:val="24"/>
                <w:szCs w:val="24"/>
                <w:lang w:eastAsia="ru-RU"/>
              </w:rPr>
              <w:t> </w:t>
            </w:r>
          </w:p>
        </w:tc>
        <w:tc>
          <w:tcPr>
            <w:tcW w:w="880" w:type="dxa"/>
            <w:tcBorders>
              <w:top w:val="nil"/>
              <w:left w:val="nil"/>
              <w:bottom w:val="single" w:sz="4" w:space="0" w:color="auto"/>
              <w:right w:val="single" w:sz="4" w:space="0" w:color="auto"/>
            </w:tcBorders>
            <w:shd w:val="clear" w:color="auto" w:fill="auto"/>
            <w:noWrap/>
            <w:vAlign w:val="center"/>
            <w:hideMark/>
          </w:tcPr>
          <w:p w:rsidR="00EA1FD1" w:rsidRPr="00EA1FD1" w:rsidRDefault="00EA1FD1" w:rsidP="00EA1FD1">
            <w:pPr>
              <w:spacing w:before="0"/>
              <w:jc w:val="center"/>
              <w:rPr>
                <w:rFonts w:eastAsia="Times New Roman"/>
                <w:color w:val="000000"/>
                <w:sz w:val="24"/>
                <w:szCs w:val="24"/>
                <w:lang w:eastAsia="ru-RU"/>
              </w:rPr>
            </w:pPr>
            <w:r w:rsidRPr="00EA1FD1">
              <w:rPr>
                <w:rFonts w:eastAsia="Times New Roman"/>
                <w:color w:val="000000"/>
                <w:sz w:val="24"/>
                <w:szCs w:val="24"/>
                <w:lang w:eastAsia="ru-RU"/>
              </w:rPr>
              <w:t>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EA1FD1" w:rsidRPr="00EA1FD1" w:rsidRDefault="00EA1FD1" w:rsidP="00EA1FD1">
            <w:pPr>
              <w:spacing w:before="0"/>
              <w:jc w:val="center"/>
              <w:rPr>
                <w:rFonts w:eastAsia="Times New Roman"/>
                <w:color w:val="000000"/>
                <w:sz w:val="24"/>
                <w:szCs w:val="24"/>
                <w:lang w:eastAsia="ru-RU"/>
              </w:rPr>
            </w:pPr>
            <w:r w:rsidRPr="00EA1FD1">
              <w:rPr>
                <w:rFonts w:eastAsia="Times New Roman"/>
                <w:color w:val="000000"/>
                <w:sz w:val="24"/>
                <w:szCs w:val="24"/>
                <w:lang w:eastAsia="ru-RU"/>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EA1FD1" w:rsidRPr="00EA1FD1" w:rsidRDefault="00EA1FD1" w:rsidP="00EA1FD1">
            <w:pPr>
              <w:spacing w:before="0"/>
              <w:jc w:val="right"/>
              <w:rPr>
                <w:rFonts w:eastAsia="Times New Roman"/>
                <w:b/>
                <w:bCs/>
                <w:color w:val="000000"/>
                <w:sz w:val="24"/>
                <w:szCs w:val="24"/>
                <w:lang w:eastAsia="ru-RU"/>
              </w:rPr>
            </w:pPr>
            <w:r w:rsidRPr="00EA1FD1">
              <w:rPr>
                <w:rFonts w:eastAsia="Times New Roman"/>
                <w:b/>
                <w:bCs/>
                <w:color w:val="000000"/>
                <w:sz w:val="24"/>
                <w:szCs w:val="24"/>
                <w:lang w:eastAsia="ru-RU"/>
              </w:rPr>
              <w:t>528 205,21</w:t>
            </w:r>
          </w:p>
        </w:tc>
      </w:tr>
      <w:tr w:rsidR="00EA1FD1" w:rsidRPr="00EA1FD1" w:rsidTr="00EA1FD1">
        <w:trPr>
          <w:trHeight w:val="315"/>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EA1FD1" w:rsidRPr="00EA1FD1" w:rsidRDefault="00EA1FD1" w:rsidP="00EA1FD1">
            <w:pPr>
              <w:spacing w:before="0"/>
              <w:jc w:val="center"/>
              <w:rPr>
                <w:rFonts w:eastAsia="Times New Roman"/>
                <w:color w:val="000000"/>
                <w:sz w:val="24"/>
                <w:szCs w:val="24"/>
                <w:lang w:eastAsia="ru-RU"/>
              </w:rPr>
            </w:pPr>
            <w:r w:rsidRPr="00EA1FD1">
              <w:rPr>
                <w:rFonts w:eastAsia="Times New Roman"/>
                <w:color w:val="000000"/>
                <w:sz w:val="24"/>
                <w:szCs w:val="24"/>
                <w:lang w:eastAsia="ru-RU"/>
              </w:rPr>
              <w:t> </w:t>
            </w:r>
          </w:p>
        </w:tc>
        <w:tc>
          <w:tcPr>
            <w:tcW w:w="4119" w:type="dxa"/>
            <w:tcBorders>
              <w:top w:val="nil"/>
              <w:left w:val="nil"/>
              <w:bottom w:val="single" w:sz="4" w:space="0" w:color="auto"/>
              <w:right w:val="single" w:sz="4" w:space="0" w:color="auto"/>
            </w:tcBorders>
            <w:shd w:val="clear" w:color="auto" w:fill="auto"/>
            <w:noWrap/>
            <w:vAlign w:val="center"/>
            <w:hideMark/>
          </w:tcPr>
          <w:p w:rsidR="00EA1FD1" w:rsidRPr="00EA1FD1" w:rsidRDefault="00EA1FD1" w:rsidP="00EA1FD1">
            <w:pPr>
              <w:spacing w:before="0"/>
              <w:jc w:val="left"/>
              <w:rPr>
                <w:rFonts w:eastAsia="Times New Roman"/>
                <w:b/>
                <w:bCs/>
                <w:color w:val="000000"/>
                <w:sz w:val="24"/>
                <w:szCs w:val="24"/>
                <w:lang w:eastAsia="ru-RU"/>
              </w:rPr>
            </w:pPr>
            <w:r w:rsidRPr="00EA1FD1">
              <w:rPr>
                <w:rFonts w:eastAsia="Times New Roman"/>
                <w:b/>
                <w:bCs/>
                <w:color w:val="000000"/>
                <w:sz w:val="24"/>
                <w:szCs w:val="24"/>
                <w:lang w:eastAsia="ru-RU"/>
              </w:rPr>
              <w:t>В том числе НДС</w:t>
            </w:r>
          </w:p>
        </w:tc>
        <w:tc>
          <w:tcPr>
            <w:tcW w:w="1194" w:type="dxa"/>
            <w:tcBorders>
              <w:top w:val="nil"/>
              <w:left w:val="nil"/>
              <w:bottom w:val="single" w:sz="4" w:space="0" w:color="auto"/>
              <w:right w:val="single" w:sz="4" w:space="0" w:color="auto"/>
            </w:tcBorders>
            <w:shd w:val="clear" w:color="auto" w:fill="auto"/>
            <w:vAlign w:val="center"/>
            <w:hideMark/>
          </w:tcPr>
          <w:p w:rsidR="00EA1FD1" w:rsidRPr="00EA1FD1" w:rsidRDefault="00EA1FD1" w:rsidP="00EA1FD1">
            <w:pPr>
              <w:spacing w:before="0"/>
              <w:jc w:val="center"/>
              <w:rPr>
                <w:rFonts w:eastAsia="Times New Roman"/>
                <w:color w:val="000000"/>
                <w:sz w:val="24"/>
                <w:szCs w:val="24"/>
                <w:lang w:eastAsia="ru-RU"/>
              </w:rPr>
            </w:pPr>
            <w:r w:rsidRPr="00EA1FD1">
              <w:rPr>
                <w:rFonts w:eastAsia="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A1FD1" w:rsidRPr="00EA1FD1" w:rsidRDefault="00EA1FD1" w:rsidP="00EA1FD1">
            <w:pPr>
              <w:spacing w:before="0"/>
              <w:jc w:val="center"/>
              <w:rPr>
                <w:rFonts w:eastAsia="Times New Roman"/>
                <w:color w:val="000000"/>
                <w:sz w:val="24"/>
                <w:szCs w:val="24"/>
                <w:lang w:eastAsia="ru-RU"/>
              </w:rPr>
            </w:pPr>
            <w:r w:rsidRPr="00EA1FD1">
              <w:rPr>
                <w:rFonts w:eastAsia="Times New Roman"/>
                <w:color w:val="000000"/>
                <w:sz w:val="24"/>
                <w:szCs w:val="24"/>
                <w:lang w:eastAsia="ru-RU"/>
              </w:rPr>
              <w:t> </w:t>
            </w:r>
          </w:p>
        </w:tc>
        <w:tc>
          <w:tcPr>
            <w:tcW w:w="880" w:type="dxa"/>
            <w:tcBorders>
              <w:top w:val="nil"/>
              <w:left w:val="nil"/>
              <w:bottom w:val="single" w:sz="4" w:space="0" w:color="auto"/>
              <w:right w:val="single" w:sz="4" w:space="0" w:color="auto"/>
            </w:tcBorders>
            <w:shd w:val="clear" w:color="auto" w:fill="auto"/>
            <w:noWrap/>
            <w:vAlign w:val="center"/>
            <w:hideMark/>
          </w:tcPr>
          <w:p w:rsidR="00EA1FD1" w:rsidRPr="00EA1FD1" w:rsidRDefault="00EA1FD1" w:rsidP="00EA1FD1">
            <w:pPr>
              <w:spacing w:before="0"/>
              <w:jc w:val="center"/>
              <w:rPr>
                <w:rFonts w:eastAsia="Times New Roman"/>
                <w:color w:val="000000"/>
                <w:sz w:val="24"/>
                <w:szCs w:val="24"/>
                <w:lang w:eastAsia="ru-RU"/>
              </w:rPr>
            </w:pPr>
            <w:r w:rsidRPr="00EA1FD1">
              <w:rPr>
                <w:rFonts w:eastAsia="Times New Roman"/>
                <w:color w:val="000000"/>
                <w:sz w:val="24"/>
                <w:szCs w:val="24"/>
                <w:lang w:eastAsia="ru-RU"/>
              </w:rPr>
              <w:t> </w:t>
            </w:r>
          </w:p>
        </w:tc>
        <w:tc>
          <w:tcPr>
            <w:tcW w:w="1230" w:type="dxa"/>
            <w:tcBorders>
              <w:top w:val="nil"/>
              <w:left w:val="nil"/>
              <w:bottom w:val="single" w:sz="4" w:space="0" w:color="auto"/>
              <w:right w:val="single" w:sz="4" w:space="0" w:color="auto"/>
            </w:tcBorders>
            <w:shd w:val="clear" w:color="auto" w:fill="auto"/>
            <w:noWrap/>
            <w:vAlign w:val="center"/>
            <w:hideMark/>
          </w:tcPr>
          <w:p w:rsidR="00EA1FD1" w:rsidRPr="00EA1FD1" w:rsidRDefault="00EA1FD1" w:rsidP="00EA1FD1">
            <w:pPr>
              <w:spacing w:before="0"/>
              <w:jc w:val="center"/>
              <w:rPr>
                <w:rFonts w:eastAsia="Times New Roman"/>
                <w:color w:val="000000"/>
                <w:sz w:val="24"/>
                <w:szCs w:val="24"/>
                <w:lang w:eastAsia="ru-RU"/>
              </w:rPr>
            </w:pPr>
            <w:r w:rsidRPr="00EA1FD1">
              <w:rPr>
                <w:rFonts w:eastAsia="Times New Roman"/>
                <w:color w:val="000000"/>
                <w:sz w:val="24"/>
                <w:szCs w:val="24"/>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A1FD1" w:rsidRPr="00EA1FD1" w:rsidRDefault="00EA1FD1" w:rsidP="00EA1FD1">
            <w:pPr>
              <w:spacing w:before="0"/>
              <w:jc w:val="right"/>
              <w:rPr>
                <w:rFonts w:eastAsia="Times New Roman"/>
                <w:b/>
                <w:bCs/>
                <w:color w:val="000000"/>
                <w:sz w:val="24"/>
                <w:szCs w:val="24"/>
                <w:lang w:eastAsia="ru-RU"/>
              </w:rPr>
            </w:pPr>
            <w:r w:rsidRPr="00EA1FD1">
              <w:rPr>
                <w:rFonts w:eastAsia="Times New Roman"/>
                <w:b/>
                <w:bCs/>
                <w:color w:val="000000"/>
                <w:sz w:val="24"/>
                <w:szCs w:val="24"/>
                <w:lang w:eastAsia="ru-RU"/>
              </w:rPr>
              <w:t>88 034,20</w:t>
            </w:r>
          </w:p>
        </w:tc>
      </w:tr>
    </w:tbl>
    <w:p w:rsidR="00D52DDB" w:rsidRDefault="00D52DDB" w:rsidP="00D52DDB">
      <w:pPr>
        <w:keepNext/>
        <w:tabs>
          <w:tab w:val="right" w:pos="10205"/>
        </w:tabs>
        <w:rPr>
          <w:sz w:val="28"/>
          <w:szCs w:val="28"/>
        </w:rPr>
      </w:pPr>
    </w:p>
    <w:p w:rsidR="008D0B02" w:rsidRDefault="008D0B02" w:rsidP="008D0B02">
      <w:pPr>
        <w:ind w:left="1494"/>
        <w:rPr>
          <w:b/>
        </w:rPr>
      </w:pPr>
    </w:p>
    <w:p w:rsidR="005D4845" w:rsidRDefault="005D4845"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CE07B9" w:rsidRDefault="00CE07B9" w:rsidP="008D0B02">
      <w:pPr>
        <w:ind w:left="1494"/>
        <w:rPr>
          <w:b/>
        </w:rPr>
      </w:pPr>
    </w:p>
    <w:p w:rsidR="008D0B02" w:rsidRPr="00567138" w:rsidRDefault="008D0B02" w:rsidP="00650B5C">
      <w:pPr>
        <w:ind w:left="1494"/>
        <w:rPr>
          <w:b/>
        </w:rPr>
      </w:pPr>
      <w:r w:rsidRPr="00567138">
        <w:rPr>
          <w:b/>
        </w:rPr>
        <w:lastRenderedPageBreak/>
        <w:t xml:space="preserve">ПРИЛОЖЕНИЕ </w:t>
      </w:r>
      <w:r w:rsidR="005D4845">
        <w:rPr>
          <w:b/>
        </w:rPr>
        <w:t>3</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5"/>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C941B0" w:rsidRDefault="00C941B0" w:rsidP="000C5172">
      <w:pPr>
        <w:rPr>
          <w:b/>
        </w:rPr>
      </w:pPr>
    </w:p>
    <w:p w:rsidR="008D0B02" w:rsidRPr="00567138" w:rsidRDefault="008D0B02" w:rsidP="000C5172">
      <w:pPr>
        <w:rPr>
          <w:b/>
        </w:rPr>
      </w:pPr>
      <w:r w:rsidRPr="00567138">
        <w:rPr>
          <w:b/>
        </w:rPr>
        <w:lastRenderedPageBreak/>
        <w:t>ПРИЛОЖЕНИЕ </w:t>
      </w:r>
      <w:r w:rsidR="005D4845">
        <w:rPr>
          <w:b/>
        </w:rPr>
        <w:t>4</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 xml:space="preserve">Указать размер </w:t>
            </w:r>
            <w:r w:rsidRPr="00567138">
              <w:lastRenderedPageBreak/>
              <w:t>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718" w:rsidRDefault="00496718" w:rsidP="00A7271F">
      <w:pPr>
        <w:spacing w:before="0"/>
      </w:pPr>
      <w:r>
        <w:separator/>
      </w:r>
    </w:p>
  </w:endnote>
  <w:endnote w:type="continuationSeparator" w:id="0">
    <w:p w:rsidR="00496718" w:rsidRDefault="00496718"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Content>
      <w:p w:rsidR="00311C1F" w:rsidRDefault="00311C1F">
        <w:pPr>
          <w:pStyle w:val="aff4"/>
          <w:jc w:val="right"/>
        </w:pPr>
        <w:r>
          <w:fldChar w:fldCharType="begin"/>
        </w:r>
        <w:r>
          <w:instrText>PAGE   \* MERGEFORMAT</w:instrText>
        </w:r>
        <w:r>
          <w:fldChar w:fldCharType="separate"/>
        </w:r>
        <w:r w:rsidR="0099541E">
          <w:rPr>
            <w:noProof/>
          </w:rPr>
          <w:t>101</w:t>
        </w:r>
        <w:r>
          <w:fldChar w:fldCharType="end"/>
        </w:r>
      </w:p>
    </w:sdtContent>
  </w:sdt>
  <w:p w:rsidR="00311C1F" w:rsidRDefault="00311C1F">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718" w:rsidRDefault="00496718" w:rsidP="00A7271F">
      <w:pPr>
        <w:spacing w:before="0"/>
      </w:pPr>
      <w:r>
        <w:separator/>
      </w:r>
    </w:p>
  </w:footnote>
  <w:footnote w:type="continuationSeparator" w:id="0">
    <w:p w:rsidR="00496718" w:rsidRDefault="00496718" w:rsidP="00A7271F">
      <w:pPr>
        <w:spacing w:before="0"/>
      </w:pPr>
      <w:r>
        <w:continuationSeparator/>
      </w:r>
    </w:p>
  </w:footnote>
  <w:footnote w:id="1">
    <w:p w:rsidR="00311C1F" w:rsidRDefault="00311C1F"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11C1F" w:rsidRDefault="00311C1F"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11C1F" w:rsidRDefault="00311C1F"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11C1F" w:rsidRDefault="00311C1F"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4643"/>
    <w:rsid w:val="00045999"/>
    <w:rsid w:val="00050192"/>
    <w:rsid w:val="00052269"/>
    <w:rsid w:val="00052B4D"/>
    <w:rsid w:val="00060297"/>
    <w:rsid w:val="00061D02"/>
    <w:rsid w:val="000629BC"/>
    <w:rsid w:val="000708BF"/>
    <w:rsid w:val="00071080"/>
    <w:rsid w:val="00074223"/>
    <w:rsid w:val="0007477B"/>
    <w:rsid w:val="00077D31"/>
    <w:rsid w:val="00083B97"/>
    <w:rsid w:val="0008668B"/>
    <w:rsid w:val="000868D9"/>
    <w:rsid w:val="00086B7D"/>
    <w:rsid w:val="00097264"/>
    <w:rsid w:val="000A254E"/>
    <w:rsid w:val="000A33FA"/>
    <w:rsid w:val="000A4994"/>
    <w:rsid w:val="000A51D3"/>
    <w:rsid w:val="000B1BD5"/>
    <w:rsid w:val="000B2C9E"/>
    <w:rsid w:val="000C1E36"/>
    <w:rsid w:val="000C3F0D"/>
    <w:rsid w:val="000C4C8B"/>
    <w:rsid w:val="000C5172"/>
    <w:rsid w:val="000C6244"/>
    <w:rsid w:val="000C6854"/>
    <w:rsid w:val="000C7718"/>
    <w:rsid w:val="000D5A1F"/>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1C1F"/>
    <w:rsid w:val="00313912"/>
    <w:rsid w:val="0031647A"/>
    <w:rsid w:val="00317284"/>
    <w:rsid w:val="00320156"/>
    <w:rsid w:val="00324361"/>
    <w:rsid w:val="0032755D"/>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5B6D"/>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394"/>
    <w:rsid w:val="004328E5"/>
    <w:rsid w:val="0043761B"/>
    <w:rsid w:val="00441A27"/>
    <w:rsid w:val="00445581"/>
    <w:rsid w:val="00446F47"/>
    <w:rsid w:val="0046088A"/>
    <w:rsid w:val="00461A31"/>
    <w:rsid w:val="004670DC"/>
    <w:rsid w:val="004734CD"/>
    <w:rsid w:val="0047519D"/>
    <w:rsid w:val="004837D7"/>
    <w:rsid w:val="00483DD6"/>
    <w:rsid w:val="00486E56"/>
    <w:rsid w:val="00490ACD"/>
    <w:rsid w:val="004916F3"/>
    <w:rsid w:val="00492BB2"/>
    <w:rsid w:val="00496718"/>
    <w:rsid w:val="004A5B13"/>
    <w:rsid w:val="004A6E50"/>
    <w:rsid w:val="004A6FEB"/>
    <w:rsid w:val="004B36CF"/>
    <w:rsid w:val="004B4E1E"/>
    <w:rsid w:val="004B7367"/>
    <w:rsid w:val="004C3E4F"/>
    <w:rsid w:val="004C4F81"/>
    <w:rsid w:val="004C718F"/>
    <w:rsid w:val="004D38D7"/>
    <w:rsid w:val="004D45C1"/>
    <w:rsid w:val="004D79C7"/>
    <w:rsid w:val="004E3D6D"/>
    <w:rsid w:val="004E461C"/>
    <w:rsid w:val="004E78B4"/>
    <w:rsid w:val="004F58CA"/>
    <w:rsid w:val="004F6E76"/>
    <w:rsid w:val="00500CB5"/>
    <w:rsid w:val="00504C82"/>
    <w:rsid w:val="00505536"/>
    <w:rsid w:val="005059E1"/>
    <w:rsid w:val="00505F52"/>
    <w:rsid w:val="005141C0"/>
    <w:rsid w:val="005225BD"/>
    <w:rsid w:val="0052351D"/>
    <w:rsid w:val="00526274"/>
    <w:rsid w:val="005300CC"/>
    <w:rsid w:val="0053364D"/>
    <w:rsid w:val="00533C3D"/>
    <w:rsid w:val="00533FC7"/>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196"/>
    <w:rsid w:val="005B738E"/>
    <w:rsid w:val="005B74FA"/>
    <w:rsid w:val="005B7E55"/>
    <w:rsid w:val="005C510C"/>
    <w:rsid w:val="005D484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256A"/>
    <w:rsid w:val="0063673E"/>
    <w:rsid w:val="0064198E"/>
    <w:rsid w:val="0064252C"/>
    <w:rsid w:val="00642704"/>
    <w:rsid w:val="00644A24"/>
    <w:rsid w:val="006473D8"/>
    <w:rsid w:val="00650768"/>
    <w:rsid w:val="00650B5C"/>
    <w:rsid w:val="006560E2"/>
    <w:rsid w:val="00661A8F"/>
    <w:rsid w:val="00663B1A"/>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16D4C"/>
    <w:rsid w:val="00721EA0"/>
    <w:rsid w:val="00724D53"/>
    <w:rsid w:val="007253CC"/>
    <w:rsid w:val="00734AF8"/>
    <w:rsid w:val="00734B26"/>
    <w:rsid w:val="00735105"/>
    <w:rsid w:val="00735363"/>
    <w:rsid w:val="007367B7"/>
    <w:rsid w:val="00737336"/>
    <w:rsid w:val="00737F90"/>
    <w:rsid w:val="007440C2"/>
    <w:rsid w:val="00746887"/>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C2F"/>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41E"/>
    <w:rsid w:val="00995950"/>
    <w:rsid w:val="0099638D"/>
    <w:rsid w:val="009A2402"/>
    <w:rsid w:val="009A6D7F"/>
    <w:rsid w:val="009A739B"/>
    <w:rsid w:val="009B20DD"/>
    <w:rsid w:val="009B2604"/>
    <w:rsid w:val="009B4D9E"/>
    <w:rsid w:val="009C0DA2"/>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4700C"/>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0749"/>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7D"/>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41B0"/>
    <w:rsid w:val="00C9501B"/>
    <w:rsid w:val="00C95C92"/>
    <w:rsid w:val="00CA23A9"/>
    <w:rsid w:val="00CA299F"/>
    <w:rsid w:val="00CA343C"/>
    <w:rsid w:val="00CA5C0E"/>
    <w:rsid w:val="00CB26BB"/>
    <w:rsid w:val="00CB2B1E"/>
    <w:rsid w:val="00CC74AB"/>
    <w:rsid w:val="00CD7035"/>
    <w:rsid w:val="00CD79BF"/>
    <w:rsid w:val="00CE07B9"/>
    <w:rsid w:val="00CE07CB"/>
    <w:rsid w:val="00CE5E09"/>
    <w:rsid w:val="00CE76DE"/>
    <w:rsid w:val="00CE7BCE"/>
    <w:rsid w:val="00CE7BD8"/>
    <w:rsid w:val="00CF0572"/>
    <w:rsid w:val="00CF0EDE"/>
    <w:rsid w:val="00CF3FD0"/>
    <w:rsid w:val="00CF4CF4"/>
    <w:rsid w:val="00D00DCB"/>
    <w:rsid w:val="00D11842"/>
    <w:rsid w:val="00D12062"/>
    <w:rsid w:val="00D204FC"/>
    <w:rsid w:val="00D2055F"/>
    <w:rsid w:val="00D20E2C"/>
    <w:rsid w:val="00D21542"/>
    <w:rsid w:val="00D3023F"/>
    <w:rsid w:val="00D343F7"/>
    <w:rsid w:val="00D34D75"/>
    <w:rsid w:val="00D416FC"/>
    <w:rsid w:val="00D442A0"/>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AD2"/>
    <w:rsid w:val="00DF7DCC"/>
    <w:rsid w:val="00E00B32"/>
    <w:rsid w:val="00E031AE"/>
    <w:rsid w:val="00E051D0"/>
    <w:rsid w:val="00E124FF"/>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1FD1"/>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E5C"/>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2B06"/>
    <w:rsid w:val="00FC4F1F"/>
    <w:rsid w:val="00FD2EB4"/>
    <w:rsid w:val="00FD396F"/>
    <w:rsid w:val="00FD58BC"/>
    <w:rsid w:val="00FD5E2A"/>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479418244">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6700683">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64908816">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8048C-3D54-438D-AB61-A18ABF7E2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1717</TotalTime>
  <Pages>101</Pages>
  <Words>30170</Words>
  <Characters>171969</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19</cp:revision>
  <cp:lastPrinted>2021-07-20T03:04:00Z</cp:lastPrinted>
  <dcterms:created xsi:type="dcterms:W3CDTF">2021-03-24T23:47:00Z</dcterms:created>
  <dcterms:modified xsi:type="dcterms:W3CDTF">2021-07-20T03:05:00Z</dcterms:modified>
</cp:coreProperties>
</file>