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296" w:rsidRPr="00FD3F77" w:rsidRDefault="006C21A0" w:rsidP="00FD3F7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</w:rPr>
      </w:pPr>
      <w:r>
        <w:rPr>
          <w:rFonts w:ascii="Times New Roman" w:eastAsia="SimSun" w:hAnsi="Times New Roman" w:cs="Times New Roman"/>
          <w:b/>
          <w:kern w:val="3"/>
          <w:sz w:val="28"/>
          <w:szCs w:val="28"/>
        </w:rPr>
        <w:t>Техническое задание</w:t>
      </w:r>
      <w:bookmarkStart w:id="0" w:name="_GoBack"/>
      <w:bookmarkEnd w:id="0"/>
    </w:p>
    <w:p w:rsidR="00036296" w:rsidRPr="00FD3F77" w:rsidRDefault="00036296" w:rsidP="00FD3F7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</w:rPr>
      </w:pPr>
    </w:p>
    <w:p w:rsidR="0012766D" w:rsidRPr="00FD3F77" w:rsidRDefault="00E32349" w:rsidP="00FD3F7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FD3F77">
        <w:rPr>
          <w:rFonts w:ascii="Times New Roman" w:eastAsia="SimSun" w:hAnsi="Times New Roman" w:cs="Times New Roman"/>
          <w:b/>
          <w:kern w:val="3"/>
          <w:sz w:val="24"/>
          <w:szCs w:val="24"/>
        </w:rPr>
        <w:t xml:space="preserve">Характеристики поставляемого товара:    </w:t>
      </w:r>
    </w:p>
    <w:p w:rsidR="00E32349" w:rsidRPr="00E848B6" w:rsidRDefault="00E32349" w:rsidP="00FD3F77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E848B6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Всё поставляемое оборудование должно быть новым, не восстановленным, свободным от права на него третьих лиц и других обременений, не являться предметом спора или залога. </w:t>
      </w:r>
    </w:p>
    <w:p w:rsidR="00E32349" w:rsidRDefault="00E32349" w:rsidP="00FD3F77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E848B6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Все комплектующие сервера должны быть совместимы между собой, смонтированы и настроены до полной работоспособности.</w:t>
      </w:r>
    </w:p>
    <w:p w:rsidR="0085086B" w:rsidRPr="00E848B6" w:rsidRDefault="0085086B" w:rsidP="0085086B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85086B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Базис поставки: силами и средствами за счет ПОСТАВЩИКА до адреса: РС (Я), г. Мирный, ул. 50 лет Октября (район метеостанции) склад АН ДОО «</w:t>
      </w:r>
      <w:proofErr w:type="spellStart"/>
      <w:r w:rsidRPr="0085086B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Алмазик</w:t>
      </w:r>
      <w:proofErr w:type="spellEnd"/>
      <w:r w:rsidRPr="0085086B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", без предъявления данных затрат ПОКУПАТЕЛЮ.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</w:t>
      </w:r>
      <w:r w:rsidRPr="0085086B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Срок поставки до 16.12.2021 г</w:t>
      </w:r>
      <w:r w:rsidRPr="0085086B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.</w:t>
      </w:r>
    </w:p>
    <w:p w:rsidR="00E44413" w:rsidRPr="00FD3F77" w:rsidRDefault="00E44413" w:rsidP="00FD3F77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:rsidR="00E32349" w:rsidRPr="00FD3F77" w:rsidRDefault="00E44413" w:rsidP="00FD3F7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FD3F7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Наименование, характеристика и количество поставляемого товара: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2"/>
        <w:gridCol w:w="849"/>
        <w:gridCol w:w="697"/>
        <w:gridCol w:w="1958"/>
        <w:gridCol w:w="4795"/>
      </w:tblGrid>
      <w:tr w:rsidR="00FD3F77" w:rsidRPr="001379D5" w:rsidTr="004A710D">
        <w:trPr>
          <w:trHeight w:val="90"/>
        </w:trPr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9A1" w:rsidRPr="001379D5" w:rsidRDefault="00AD09A1" w:rsidP="005949BC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9A1" w:rsidRPr="001379D5" w:rsidRDefault="00AD09A1" w:rsidP="005949BC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Ед. </w:t>
            </w:r>
            <w:r w:rsidR="00525103" w:rsidRPr="001379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</w:t>
            </w:r>
            <w:proofErr w:type="spellStart"/>
            <w:r w:rsidRPr="001379D5">
              <w:rPr>
                <w:rFonts w:ascii="Times New Roman" w:hAnsi="Times New Roman" w:cs="Times New Roman"/>
                <w:b/>
                <w:sz w:val="20"/>
                <w:szCs w:val="20"/>
              </w:rPr>
              <w:t>изм-ния</w:t>
            </w:r>
            <w:proofErr w:type="spellEnd"/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9A1" w:rsidRPr="001379D5" w:rsidRDefault="00AD09A1" w:rsidP="005949BC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9A1" w:rsidRPr="001379D5" w:rsidRDefault="00AD09A1" w:rsidP="005949BC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компонентов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9A1" w:rsidRPr="001379D5" w:rsidRDefault="00AD09A1" w:rsidP="005949BC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характеристики</w:t>
            </w:r>
          </w:p>
        </w:tc>
      </w:tr>
      <w:tr w:rsidR="00FD3F77" w:rsidRPr="001379D5" w:rsidTr="004A710D">
        <w:trPr>
          <w:trHeight w:val="90"/>
        </w:trPr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9A1" w:rsidRPr="001379D5" w:rsidRDefault="00AD09A1" w:rsidP="005949BC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9A1" w:rsidRPr="001379D5" w:rsidRDefault="00AD09A1" w:rsidP="005949BC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9A1" w:rsidRPr="001379D5" w:rsidRDefault="00AD09A1" w:rsidP="005949BC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9A1" w:rsidRPr="001379D5" w:rsidRDefault="00AD09A1" w:rsidP="005949BC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9A1" w:rsidRPr="001379D5" w:rsidRDefault="00AD09A1" w:rsidP="005949BC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3A29" w:rsidRPr="001379D5" w:rsidTr="004A710D">
        <w:trPr>
          <w:trHeight w:val="1082"/>
        </w:trPr>
        <w:tc>
          <w:tcPr>
            <w:tcW w:w="8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33A29" w:rsidRPr="001379D5" w:rsidRDefault="00033A29" w:rsidP="009C2820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Сервер</w:t>
            </w:r>
          </w:p>
        </w:tc>
        <w:tc>
          <w:tcPr>
            <w:tcW w:w="4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33A29" w:rsidRPr="001379D5" w:rsidRDefault="00033A29" w:rsidP="009C2820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3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33A29" w:rsidRPr="001379D5" w:rsidRDefault="007B1EA7" w:rsidP="009C2820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3A29" w:rsidRPr="00B560AC" w:rsidRDefault="00033A29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Процессор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A29" w:rsidRPr="00B560AC" w:rsidRDefault="00033A29" w:rsidP="009C28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– не менее </w:t>
            </w:r>
            <w:r w:rsidR="008E51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шт.;</w:t>
            </w:r>
          </w:p>
          <w:p w:rsidR="00033A29" w:rsidRPr="00B560AC" w:rsidRDefault="00033A29" w:rsidP="009C28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Тип – серверный;</w:t>
            </w:r>
          </w:p>
          <w:p w:rsidR="00033A29" w:rsidRPr="00B560AC" w:rsidRDefault="00164828" w:rsidP="009C28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ядер </w:t>
            </w:r>
            <w:r w:rsidR="00DA44E3">
              <w:rPr>
                <w:rFonts w:ascii="Times New Roman" w:hAnsi="Times New Roman" w:cs="Times New Roman"/>
                <w:sz w:val="20"/>
                <w:szCs w:val="20"/>
              </w:rPr>
              <w:t>на каждый процессор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– не менее </w:t>
            </w:r>
            <w:r w:rsidR="008E517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33A29" w:rsidRPr="00B560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33A29" w:rsidRPr="00B560AC" w:rsidRDefault="006213EE" w:rsidP="009C28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потоков</w:t>
            </w:r>
            <w:r w:rsidR="00DA44E3">
              <w:rPr>
                <w:rFonts w:ascii="Times New Roman" w:hAnsi="Times New Roman" w:cs="Times New Roman"/>
                <w:sz w:val="20"/>
                <w:szCs w:val="20"/>
              </w:rPr>
              <w:t xml:space="preserve"> на каждый процессор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не менее </w:t>
            </w:r>
            <w:r w:rsidR="008E517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3A29" w:rsidRPr="00B560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33A29" w:rsidRPr="00B560AC" w:rsidRDefault="006213EE" w:rsidP="009C28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Тактовая частота – не менее </w:t>
            </w:r>
            <w:r w:rsidR="008E5179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  <w:r w:rsidR="00033A29"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ГГц;</w:t>
            </w:r>
          </w:p>
          <w:p w:rsidR="00033A29" w:rsidRPr="00B560AC" w:rsidRDefault="00033A29" w:rsidP="009C28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Максимальная тактовая частота с технол</w:t>
            </w:r>
            <w:r w:rsidR="006213EE">
              <w:rPr>
                <w:rFonts w:ascii="Times New Roman" w:hAnsi="Times New Roman" w:cs="Times New Roman"/>
                <w:sz w:val="20"/>
                <w:szCs w:val="20"/>
              </w:rPr>
              <w:t xml:space="preserve">огией </w:t>
            </w:r>
            <w:proofErr w:type="spellStart"/>
            <w:r w:rsidR="006213EE">
              <w:rPr>
                <w:rFonts w:ascii="Times New Roman" w:hAnsi="Times New Roman" w:cs="Times New Roman"/>
                <w:sz w:val="20"/>
                <w:szCs w:val="20"/>
              </w:rPr>
              <w:t>Turbo</w:t>
            </w:r>
            <w:proofErr w:type="spellEnd"/>
            <w:r w:rsidR="00621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213EE">
              <w:rPr>
                <w:rFonts w:ascii="Times New Roman" w:hAnsi="Times New Roman" w:cs="Times New Roman"/>
                <w:sz w:val="20"/>
                <w:szCs w:val="20"/>
              </w:rPr>
              <w:t>Boost</w:t>
            </w:r>
            <w:proofErr w:type="spellEnd"/>
            <w:r w:rsidR="006213EE">
              <w:rPr>
                <w:rFonts w:ascii="Times New Roman" w:hAnsi="Times New Roman" w:cs="Times New Roman"/>
                <w:sz w:val="20"/>
                <w:szCs w:val="20"/>
              </w:rPr>
              <w:t xml:space="preserve"> – не менее 3,</w:t>
            </w:r>
            <w:r w:rsidR="008E51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ГГц;</w:t>
            </w:r>
          </w:p>
          <w:p w:rsidR="00033A29" w:rsidRPr="00B560AC" w:rsidRDefault="006213EE" w:rsidP="009C28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Объём кэша – не менее </w:t>
            </w:r>
            <w:r w:rsidR="00D25E54" w:rsidRPr="00D25E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51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051FD" w:rsidRPr="00E051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E51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051FD" w:rsidRPr="00E051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33A29"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Мб;</w:t>
            </w:r>
          </w:p>
          <w:p w:rsidR="00B946D7" w:rsidRDefault="006213EE" w:rsidP="008E5179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Расчётная мощность – не более </w:t>
            </w:r>
            <w:r w:rsidR="008E51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87A34" w:rsidRPr="004718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33A29"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Вт;</w:t>
            </w:r>
            <w:r w:rsidR="00B946D7">
              <w:t xml:space="preserve"> </w:t>
            </w:r>
          </w:p>
          <w:p w:rsidR="006213EE" w:rsidRPr="00B560AC" w:rsidRDefault="00B946D7" w:rsidP="008E5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6D7">
              <w:rPr>
                <w:rFonts w:ascii="Times New Roman" w:hAnsi="Times New Roman" w:cs="Times New Roman"/>
                <w:sz w:val="20"/>
                <w:szCs w:val="20"/>
              </w:rPr>
              <w:t>Поддержка максимального количества ядер на один процессор – не менее 28;</w:t>
            </w:r>
          </w:p>
        </w:tc>
      </w:tr>
      <w:tr w:rsidR="00033A29" w:rsidRPr="001379D5" w:rsidTr="004A710D">
        <w:tc>
          <w:tcPr>
            <w:tcW w:w="813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33A29" w:rsidRPr="001379D5" w:rsidRDefault="00033A29" w:rsidP="009C2820">
            <w:pPr>
              <w:spacing w:after="0" w:line="240" w:lineRule="auto"/>
              <w:ind w:right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33A29" w:rsidRPr="001379D5" w:rsidRDefault="00033A29" w:rsidP="009C2820">
            <w:pPr>
              <w:spacing w:after="0" w:line="240" w:lineRule="auto"/>
              <w:ind w:right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33A29" w:rsidRPr="001379D5" w:rsidRDefault="00033A29" w:rsidP="009C2820">
            <w:pPr>
              <w:spacing w:after="0" w:line="240" w:lineRule="auto"/>
              <w:ind w:right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3A29" w:rsidRPr="00B560AC" w:rsidRDefault="00033A29" w:rsidP="009C2820">
            <w:pPr>
              <w:spacing w:after="0" w:line="240" w:lineRule="auto"/>
              <w:ind w:righ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Оперативная память 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A29" w:rsidRPr="00B560AC" w:rsidRDefault="00033A29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91363D"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установленных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модулей (</w:t>
            </w:r>
            <w:r w:rsidRPr="00B560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DDR</w:t>
            </w:r>
            <w:r w:rsidR="0083574C" w:rsidRPr="00B560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60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RDIMM</w:t>
            </w:r>
            <w:r w:rsidR="006213EE">
              <w:rPr>
                <w:rFonts w:ascii="Times New Roman" w:hAnsi="Times New Roman" w:cs="Times New Roman"/>
                <w:sz w:val="20"/>
                <w:szCs w:val="20"/>
              </w:rPr>
              <w:t xml:space="preserve">) – не менее </w:t>
            </w:r>
            <w:r w:rsidR="008E517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шт</w:t>
            </w:r>
            <w:r w:rsidR="0083574C" w:rsidRPr="00B560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33A29" w:rsidRPr="00B560AC" w:rsidRDefault="00033A29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r w:rsidR="0091363D"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одного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363D"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модуля – не менее </w:t>
            </w:r>
            <w:r w:rsidR="008E517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Гб;</w:t>
            </w:r>
          </w:p>
          <w:p w:rsidR="00033A29" w:rsidRPr="00B560AC" w:rsidRDefault="00033A29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Максимальный объем оперативной памяти – не менее 3 Тб</w:t>
            </w:r>
            <w:r w:rsidR="00C37758" w:rsidRPr="00B560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1363D" w:rsidRPr="00B560AC" w:rsidRDefault="0091363D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</w:t>
            </w:r>
            <w:r w:rsidR="006213EE">
              <w:rPr>
                <w:rFonts w:ascii="Times New Roman" w:hAnsi="Times New Roman" w:cs="Times New Roman"/>
                <w:sz w:val="20"/>
                <w:szCs w:val="20"/>
              </w:rPr>
              <w:t>тво модулей памяти – не менее 24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шт.;</w:t>
            </w:r>
          </w:p>
          <w:p w:rsidR="00033A29" w:rsidRPr="00B560AC" w:rsidRDefault="00033A29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Тип памяти – не ниже DDR4 ECC; </w:t>
            </w:r>
          </w:p>
          <w:p w:rsidR="008E5179" w:rsidRDefault="00974500" w:rsidP="008E5179">
            <w:pPr>
              <w:spacing w:after="0" w:line="240" w:lineRule="auto"/>
              <w:ind w:right="57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Рабочая частота – не менее 2</w:t>
            </w:r>
            <w:r w:rsidR="0047182D" w:rsidRPr="0047182D">
              <w:rPr>
                <w:rFonts w:ascii="Times New Roman" w:hAnsi="Times New Roman" w:cs="Times New Roman"/>
                <w:sz w:val="20"/>
                <w:szCs w:val="20"/>
              </w:rPr>
              <w:t>666</w:t>
            </w:r>
            <w:r w:rsidR="00033A29"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МГц</w:t>
            </w:r>
            <w:r w:rsidR="00C37758" w:rsidRPr="00B560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E5179">
              <w:t xml:space="preserve"> </w:t>
            </w:r>
          </w:p>
          <w:p w:rsidR="00E269C7" w:rsidRPr="00E269C7" w:rsidRDefault="00E269C7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E269C7">
              <w:rPr>
                <w:rFonts w:ascii="Times New Roman" w:hAnsi="Times New Roman" w:cs="Times New Roman"/>
                <w:sz w:val="20"/>
                <w:szCs w:val="20"/>
              </w:rPr>
              <w:t>Максимальная рабочая частота – не менее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933</w:t>
            </w:r>
            <w:r w:rsidRPr="00E269C7">
              <w:rPr>
                <w:rFonts w:ascii="Times New Roman" w:hAnsi="Times New Roman" w:cs="Times New Roman"/>
                <w:sz w:val="20"/>
                <w:szCs w:val="20"/>
              </w:rPr>
              <w:t xml:space="preserve"> МГц;</w:t>
            </w:r>
          </w:p>
          <w:p w:rsidR="008E5179" w:rsidRPr="008E5179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sz w:val="20"/>
                <w:szCs w:val="20"/>
              </w:rPr>
              <w:t xml:space="preserve">Планки памяти должны быть сертифицированы к </w:t>
            </w:r>
          </w:p>
          <w:p w:rsidR="00033A29" w:rsidRPr="00B560AC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sz w:val="20"/>
                <w:szCs w:val="20"/>
              </w:rPr>
              <w:t>использованию производителем сервера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91A2D" w:rsidRPr="001379D5" w:rsidTr="004A710D">
        <w:tc>
          <w:tcPr>
            <w:tcW w:w="813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D91A2D" w:rsidRPr="001379D5" w:rsidRDefault="00D91A2D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D91A2D" w:rsidRPr="001379D5" w:rsidRDefault="00D91A2D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D91A2D" w:rsidRPr="001379D5" w:rsidRDefault="00D91A2D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1A2D" w:rsidRPr="00D91A2D" w:rsidRDefault="00D91A2D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рдотельный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накопитель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1A2D" w:rsidRPr="00B560AC" w:rsidRDefault="00D91A2D" w:rsidP="00D91A2D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накопителей – не менее </w:t>
            </w:r>
            <w:r w:rsidR="00E269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шт., возможное расширение не менее,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чем до </w:t>
            </w:r>
            <w:r w:rsidR="0047182D" w:rsidRPr="0047182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шт.;</w:t>
            </w:r>
          </w:p>
          <w:p w:rsidR="00D91A2D" w:rsidRPr="00B560AC" w:rsidRDefault="00D91A2D" w:rsidP="00D91A2D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«горячей» замены накопителей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91A2D" w:rsidRPr="00B560AC" w:rsidRDefault="00D91A2D" w:rsidP="00D91A2D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Ём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кость одного накопителя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– не менее </w:t>
            </w:r>
            <w:r w:rsidR="00E269C7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Гб</w:t>
            </w:r>
            <w:r w:rsidR="00E269C7">
              <w:rPr>
                <w:rFonts w:ascii="Times New Roman" w:hAnsi="Times New Roman" w:cs="Times New Roman"/>
                <w:sz w:val="20"/>
                <w:szCs w:val="20"/>
              </w:rPr>
              <w:t xml:space="preserve"> (каждый)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91A2D" w:rsidRPr="00B560AC" w:rsidRDefault="00D91A2D" w:rsidP="002C0A25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Тип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SSD</w:t>
            </w:r>
            <w:r w:rsidR="00E269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C0A25">
              <w:rPr>
                <w:rFonts w:ascii="Times New Roman" w:hAnsi="Times New Roman" w:cs="Times New Roman"/>
                <w:sz w:val="20"/>
                <w:szCs w:val="20"/>
              </w:rPr>
              <w:t>серверный</w:t>
            </w:r>
            <w:r w:rsidR="002C0A25">
              <w:t xml:space="preserve">, </w:t>
            </w:r>
            <w:r w:rsidR="002C0A25" w:rsidRPr="002C0A25">
              <w:rPr>
                <w:rFonts w:ascii="Times New Roman" w:hAnsi="Times New Roman" w:cs="Times New Roman"/>
                <w:sz w:val="20"/>
                <w:szCs w:val="20"/>
              </w:rPr>
              <w:t>TLC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91A2D" w:rsidRDefault="00D91A2D" w:rsidP="00D91A2D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Форм-фактор – не более 2,5”;</w:t>
            </w:r>
          </w:p>
          <w:p w:rsidR="002C0A25" w:rsidRDefault="002C0A25" w:rsidP="00D91A2D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C0A25">
              <w:rPr>
                <w:rFonts w:ascii="Times New Roman" w:hAnsi="Times New Roman" w:cs="Times New Roman"/>
                <w:sz w:val="20"/>
                <w:szCs w:val="20"/>
              </w:rPr>
              <w:t xml:space="preserve">Пропускная способность дисков – 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2C0A25">
              <w:rPr>
                <w:rFonts w:ascii="Times New Roman" w:hAnsi="Times New Roman" w:cs="Times New Roman"/>
                <w:sz w:val="20"/>
                <w:szCs w:val="20"/>
              </w:rPr>
              <w:t>Гбит/с;</w:t>
            </w:r>
          </w:p>
          <w:p w:rsidR="002C0A25" w:rsidRPr="002C0A25" w:rsidRDefault="002C0A25" w:rsidP="002C0A25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C0A25">
              <w:rPr>
                <w:rFonts w:ascii="Times New Roman" w:hAnsi="Times New Roman" w:cs="Times New Roman"/>
                <w:sz w:val="20"/>
                <w:szCs w:val="20"/>
              </w:rPr>
              <w:t xml:space="preserve">Последовательное чтение – 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  <w:r w:rsidRPr="002C0A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0A25">
              <w:rPr>
                <w:rFonts w:ascii="Times New Roman" w:hAnsi="Times New Roman" w:cs="Times New Roman"/>
                <w:sz w:val="20"/>
                <w:szCs w:val="20"/>
              </w:rPr>
              <w:t>Mб</w:t>
            </w:r>
            <w:proofErr w:type="spellEnd"/>
            <w:r w:rsidRPr="002C0A25">
              <w:rPr>
                <w:rFonts w:ascii="Times New Roman" w:hAnsi="Times New Roman" w:cs="Times New Roman"/>
                <w:sz w:val="20"/>
                <w:szCs w:val="20"/>
              </w:rPr>
              <w:t>/с;</w:t>
            </w:r>
          </w:p>
          <w:p w:rsidR="002C0A25" w:rsidRPr="002C0A25" w:rsidRDefault="002C0A25" w:rsidP="002C0A25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C0A25">
              <w:rPr>
                <w:rFonts w:ascii="Times New Roman" w:hAnsi="Times New Roman" w:cs="Times New Roman"/>
                <w:sz w:val="20"/>
                <w:szCs w:val="20"/>
              </w:rPr>
              <w:t xml:space="preserve">Последовательная запись – 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  <w:r w:rsidRPr="002C0A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0A25">
              <w:rPr>
                <w:rFonts w:ascii="Times New Roman" w:hAnsi="Times New Roman" w:cs="Times New Roman"/>
                <w:sz w:val="20"/>
                <w:szCs w:val="20"/>
              </w:rPr>
              <w:t>Mб</w:t>
            </w:r>
            <w:proofErr w:type="spellEnd"/>
            <w:r w:rsidRPr="002C0A25">
              <w:rPr>
                <w:rFonts w:ascii="Times New Roman" w:hAnsi="Times New Roman" w:cs="Times New Roman"/>
                <w:sz w:val="20"/>
                <w:szCs w:val="20"/>
              </w:rPr>
              <w:t>/с;</w:t>
            </w:r>
          </w:p>
          <w:p w:rsidR="002C0A25" w:rsidRPr="002C0A25" w:rsidRDefault="002C0A25" w:rsidP="002C0A25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C0A25">
              <w:rPr>
                <w:rFonts w:ascii="Times New Roman" w:hAnsi="Times New Roman" w:cs="Times New Roman"/>
                <w:sz w:val="20"/>
                <w:szCs w:val="20"/>
              </w:rPr>
              <w:t xml:space="preserve">Среднее время наработки на отказ – не менее 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C0A25">
              <w:rPr>
                <w:rFonts w:ascii="Times New Roman" w:hAnsi="Times New Roman" w:cs="Times New Roman"/>
                <w:sz w:val="20"/>
                <w:szCs w:val="20"/>
              </w:rPr>
              <w:t>00 000 ч;</w:t>
            </w:r>
          </w:p>
          <w:p w:rsidR="002C0A25" w:rsidRDefault="002C0A25" w:rsidP="002C0A25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C0A25">
              <w:rPr>
                <w:rFonts w:ascii="Times New Roman" w:hAnsi="Times New Roman" w:cs="Times New Roman"/>
                <w:sz w:val="20"/>
                <w:szCs w:val="20"/>
              </w:rPr>
              <w:t>Износоустойчивость- не хуже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2C0A2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течении  5 лет.</w:t>
            </w:r>
            <w:r w:rsidRPr="002C0A2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0A25" w:rsidRDefault="002C0A25" w:rsidP="002C0A25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Салазки-не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менее 6 шт.;</w:t>
            </w:r>
          </w:p>
          <w:p w:rsidR="008E5179" w:rsidRPr="008E5179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sz w:val="20"/>
                <w:szCs w:val="20"/>
              </w:rPr>
              <w:t xml:space="preserve">Тип поддерживаемых жестких дисков: SAS, SATA, </w:t>
            </w:r>
            <w:proofErr w:type="spellStart"/>
            <w:r w:rsidRPr="008E5179">
              <w:rPr>
                <w:rFonts w:ascii="Times New Roman" w:hAnsi="Times New Roman" w:cs="Times New Roman"/>
                <w:sz w:val="20"/>
                <w:szCs w:val="20"/>
              </w:rPr>
              <w:t>Near-line</w:t>
            </w:r>
            <w:proofErr w:type="spellEnd"/>
            <w:r w:rsidRPr="008E5179">
              <w:rPr>
                <w:rFonts w:ascii="Times New Roman" w:hAnsi="Times New Roman" w:cs="Times New Roman"/>
                <w:sz w:val="20"/>
                <w:szCs w:val="20"/>
              </w:rPr>
              <w:t xml:space="preserve"> SAS; твердотельных накопителей: SAS, SATA;</w:t>
            </w:r>
          </w:p>
          <w:p w:rsidR="008E5179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Максимальное количество объёма в передние отсеки – не менее </w:t>
            </w:r>
            <w:r w:rsidRPr="003E40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E40EF" w:rsidRPr="003E40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E40EF">
              <w:rPr>
                <w:rFonts w:ascii="Times New Roman" w:hAnsi="Times New Roman" w:cs="Times New Roman"/>
                <w:sz w:val="20"/>
                <w:szCs w:val="20"/>
              </w:rPr>
              <w:t xml:space="preserve"> ТБ;</w:t>
            </w:r>
          </w:p>
          <w:p w:rsidR="008E5179" w:rsidRPr="008E5179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sz w:val="20"/>
                <w:szCs w:val="20"/>
              </w:rPr>
              <w:t>Диск для серверов и ЦОД (центров обработки данных, дата-центров) – соответствие;</w:t>
            </w:r>
          </w:p>
          <w:p w:rsidR="008E5179" w:rsidRPr="008E5179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sz w:val="20"/>
                <w:szCs w:val="20"/>
              </w:rPr>
              <w:t xml:space="preserve">Диски должны быть сертифицированы к </w:t>
            </w:r>
          </w:p>
          <w:p w:rsidR="008E5179" w:rsidRPr="009808D4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использованию производителем сервера.</w:t>
            </w:r>
          </w:p>
        </w:tc>
      </w:tr>
      <w:tr w:rsidR="00033A29" w:rsidRPr="001379D5" w:rsidTr="004A710D">
        <w:tc>
          <w:tcPr>
            <w:tcW w:w="813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33A29" w:rsidRPr="001379D5" w:rsidRDefault="00033A29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33A29" w:rsidRPr="001379D5" w:rsidRDefault="00033A29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33A29" w:rsidRPr="001379D5" w:rsidRDefault="00033A29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3A29" w:rsidRPr="00B560AC" w:rsidRDefault="00033A29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Контроллер дисковой подсистемы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3A29" w:rsidRPr="00B560AC" w:rsidRDefault="00033A29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каналов прямого подключения – не менее 8;</w:t>
            </w:r>
          </w:p>
          <w:p w:rsidR="00033A29" w:rsidRPr="00B560AC" w:rsidRDefault="00033A29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 w:rsidR="00766904" w:rsidRPr="00B560AC">
              <w:rPr>
                <w:rFonts w:ascii="Times New Roman" w:hAnsi="Times New Roman" w:cs="Times New Roman"/>
                <w:sz w:val="20"/>
                <w:szCs w:val="20"/>
              </w:rPr>
              <w:t>ксимальное количество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дисков – не менее</w:t>
            </w:r>
            <w:r w:rsidR="00766904"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255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33A29" w:rsidRPr="00B560AC" w:rsidRDefault="00033A29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Пропускная способность по каждому каналу – не менее 12 Гбит/сек; </w:t>
            </w:r>
          </w:p>
          <w:p w:rsidR="00033A29" w:rsidRPr="00B560AC" w:rsidRDefault="00033A29" w:rsidP="005C196C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Уровни RAID – не менее </w:t>
            </w:r>
            <w:r w:rsidR="00766904" w:rsidRPr="00B560AC">
              <w:rPr>
                <w:rFonts w:ascii="Times New Roman" w:hAnsi="Times New Roman" w:cs="Times New Roman"/>
                <w:sz w:val="20"/>
                <w:szCs w:val="20"/>
              </w:rPr>
              <w:t>0, 1, 5, 6, 10, 50, 60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33A29" w:rsidRDefault="00033A29" w:rsidP="005661C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Объём кэша – не менее </w:t>
            </w:r>
            <w:r w:rsidR="005661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Гб;</w:t>
            </w:r>
          </w:p>
          <w:p w:rsidR="008E5179" w:rsidRPr="008E5179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sz w:val="20"/>
                <w:szCs w:val="20"/>
              </w:rPr>
              <w:t>Контроллер не должен занимать слот расширения PCI-</w:t>
            </w:r>
            <w:proofErr w:type="spellStart"/>
            <w:r w:rsidRPr="008E5179">
              <w:rPr>
                <w:rFonts w:ascii="Times New Roman" w:hAnsi="Times New Roman" w:cs="Times New Roman"/>
                <w:sz w:val="20"/>
                <w:szCs w:val="20"/>
              </w:rPr>
              <w:t>Express</w:t>
            </w:r>
            <w:proofErr w:type="spellEnd"/>
            <w:r w:rsidRPr="008E5179">
              <w:rPr>
                <w:rFonts w:ascii="Times New Roman" w:hAnsi="Times New Roman" w:cs="Times New Roman"/>
                <w:sz w:val="20"/>
                <w:szCs w:val="20"/>
              </w:rPr>
              <w:t xml:space="preserve"> сервера, должен быть реализован в виде модуля, устанавливаемого в специализированный </w:t>
            </w:r>
            <w:proofErr w:type="gramStart"/>
            <w:r w:rsidRPr="008E5179">
              <w:rPr>
                <w:rFonts w:ascii="Times New Roman" w:hAnsi="Times New Roman" w:cs="Times New Roman"/>
                <w:sz w:val="20"/>
                <w:szCs w:val="20"/>
              </w:rPr>
              <w:t>разъем.;</w:t>
            </w:r>
            <w:proofErr w:type="gramEnd"/>
          </w:p>
          <w:p w:rsidR="008E5179" w:rsidRPr="008E5179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sz w:val="20"/>
                <w:szCs w:val="20"/>
              </w:rPr>
              <w:t xml:space="preserve">Контролер должен быть сертифицирован к </w:t>
            </w:r>
          </w:p>
          <w:p w:rsidR="008E5179" w:rsidRPr="00B560AC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sz w:val="20"/>
                <w:szCs w:val="20"/>
              </w:rPr>
              <w:t>использованию производителем сервера</w:t>
            </w:r>
          </w:p>
        </w:tc>
      </w:tr>
      <w:tr w:rsidR="00832C8E" w:rsidRPr="001379D5" w:rsidTr="004A710D">
        <w:tc>
          <w:tcPr>
            <w:tcW w:w="813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Серверная платформа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0AC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Корпус 2</w:t>
            </w:r>
            <w:r w:rsidRPr="001379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0A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с установленной в нём материнско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платой</w:t>
            </w:r>
            <w:r w:rsidR="00B560A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560AC" w:rsidRPr="00B560AC">
              <w:rPr>
                <w:rFonts w:ascii="Times New Roman" w:hAnsi="Times New Roman" w:cs="Times New Roman"/>
                <w:sz w:val="20"/>
                <w:szCs w:val="20"/>
              </w:rPr>
              <w:t xml:space="preserve"> сто</w:t>
            </w:r>
            <w:r w:rsidR="00B560AC">
              <w:rPr>
                <w:rFonts w:ascii="Times New Roman" w:hAnsi="Times New Roman" w:cs="Times New Roman"/>
                <w:sz w:val="20"/>
                <w:szCs w:val="20"/>
              </w:rPr>
              <w:t>ечного исполнения;</w:t>
            </w:r>
          </w:p>
          <w:p w:rsidR="00B560AC" w:rsidRPr="001379D5" w:rsidRDefault="00C47759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Габариты: не более 755</w:t>
            </w:r>
            <w:r w:rsidR="00832C8E" w:rsidRPr="001379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="00832C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832C8E" w:rsidRPr="001379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="00832C8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832C8E"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C8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832C8E" w:rsidRPr="001379D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E5179" w:rsidRPr="00357A3D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Платформа-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двухсокетная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E5179" w:rsidRPr="00357A3D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57A3D">
              <w:rPr>
                <w:rFonts w:ascii="Times New Roman" w:hAnsi="Times New Roman" w:cs="Times New Roman"/>
                <w:sz w:val="20"/>
                <w:szCs w:val="20"/>
              </w:rPr>
              <w:t>Наличие индикаторов питания, активности жестких дисков, индикаторов сетевой активности, системного перегрева;</w:t>
            </w:r>
          </w:p>
          <w:p w:rsidR="008E5179" w:rsidRPr="00357A3D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57A3D">
              <w:rPr>
                <w:rFonts w:ascii="Times New Roman" w:hAnsi="Times New Roman" w:cs="Times New Roman"/>
                <w:sz w:val="20"/>
                <w:szCs w:val="20"/>
              </w:rPr>
              <w:t>Защитная лицевая запираемая на ключ панель – наличие;</w:t>
            </w:r>
          </w:p>
          <w:p w:rsidR="008E5179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57A3D">
              <w:rPr>
                <w:rFonts w:ascii="Times New Roman" w:hAnsi="Times New Roman" w:cs="Times New Roman"/>
                <w:sz w:val="20"/>
                <w:szCs w:val="20"/>
              </w:rPr>
              <w:t>LCD-панель для отображения состояния сервера - опционально;</w:t>
            </w:r>
          </w:p>
          <w:p w:rsidR="00832C8E" w:rsidRPr="001379D5" w:rsidRDefault="00832C8E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Количество блоков питания – не менее 2 шт.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Мощность блока питания c резервирова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47759">
              <w:rPr>
                <w:rFonts w:ascii="Times New Roman" w:hAnsi="Times New Roman" w:cs="Times New Roman"/>
                <w:sz w:val="20"/>
                <w:szCs w:val="20"/>
              </w:rPr>
              <w:t>ием по схеме (1+1) – не менее 75</w:t>
            </w: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0 Вт;</w:t>
            </w:r>
          </w:p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Возможность «горячей» замены блоков питания</w:t>
            </w:r>
            <w:r w:rsidR="00F8639A">
              <w:rPr>
                <w:rFonts w:ascii="Times New Roman" w:hAnsi="Times New Roman" w:cs="Times New Roman"/>
                <w:sz w:val="20"/>
                <w:szCs w:val="20"/>
              </w:rPr>
              <w:t xml:space="preserve"> - наличие</w:t>
            </w: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Количество разъёмов DDR4 – не менее 24 шт.;</w:t>
            </w:r>
          </w:p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C773D">
              <w:rPr>
                <w:rFonts w:ascii="Times New Roman" w:hAnsi="Times New Roman" w:cs="Times New Roman"/>
                <w:sz w:val="20"/>
                <w:szCs w:val="20"/>
              </w:rPr>
              <w:t>лоты PCI</w:t>
            </w:r>
            <w:r w:rsidR="00C47759" w:rsidRPr="00C477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775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47759" w:rsidRPr="00C47759">
              <w:rPr>
                <w:rFonts w:ascii="Times New Roman" w:hAnsi="Times New Roman" w:cs="Times New Roman"/>
                <w:sz w:val="20"/>
                <w:szCs w:val="20"/>
              </w:rPr>
              <w:t xml:space="preserve"> не </w:t>
            </w:r>
            <w:r w:rsidR="00C47759">
              <w:rPr>
                <w:rFonts w:ascii="Times New Roman" w:hAnsi="Times New Roman" w:cs="Times New Roman"/>
                <w:sz w:val="20"/>
                <w:szCs w:val="20"/>
              </w:rPr>
              <w:t>менее 8</w:t>
            </w:r>
            <w:r w:rsidR="004C773D">
              <w:rPr>
                <w:rFonts w:ascii="Times New Roman" w:hAnsi="Times New Roman" w:cs="Times New Roman"/>
                <w:sz w:val="20"/>
                <w:szCs w:val="20"/>
              </w:rPr>
              <w:t xml:space="preserve">: PCI-E 16x – </w:t>
            </w:r>
            <w:r w:rsidR="00C47759">
              <w:rPr>
                <w:rFonts w:ascii="Times New Roman" w:hAnsi="Times New Roman" w:cs="Times New Roman"/>
                <w:sz w:val="20"/>
                <w:szCs w:val="20"/>
              </w:rPr>
              <w:t>расширение до 4</w:t>
            </w:r>
            <w:r w:rsidR="002678BB">
              <w:rPr>
                <w:rFonts w:ascii="Times New Roman" w:hAnsi="Times New Roman" w:cs="Times New Roman"/>
                <w:sz w:val="20"/>
                <w:szCs w:val="20"/>
              </w:rPr>
              <w:t xml:space="preserve"> шт., PCI-E 8x – не менее 7</w:t>
            </w: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 шт.;</w:t>
            </w:r>
          </w:p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Разъём USB 3.0 –</w:t>
            </w:r>
            <w:r w:rsidR="004C77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78BB" w:rsidRPr="001379D5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  <w:r w:rsidR="002678BB">
              <w:rPr>
                <w:rFonts w:ascii="Times New Roman" w:hAnsi="Times New Roman" w:cs="Times New Roman"/>
                <w:sz w:val="20"/>
                <w:szCs w:val="20"/>
              </w:rPr>
              <w:t xml:space="preserve"> на передней панели, </w:t>
            </w: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не менее 2 шт. на задней панели, не менее 1 шт. внутренний;</w:t>
            </w:r>
          </w:p>
          <w:p w:rsidR="00832C8E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Разъём USB 2.0 – </w:t>
            </w:r>
            <w:r w:rsidR="004C773D"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AE6442" w:rsidRPr="00AE64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C773D"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 шт. на лицевой панели</w:t>
            </w: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E40EF" w:rsidRDefault="00AE6442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E6442">
              <w:rPr>
                <w:rFonts w:ascii="Times New Roman" w:hAnsi="Times New Roman" w:cs="Times New Roman"/>
                <w:sz w:val="20"/>
                <w:szCs w:val="20"/>
              </w:rPr>
              <w:t>Управляющий мини USB – не менее 1 шт. на передней панели;</w:t>
            </w:r>
          </w:p>
          <w:p w:rsidR="003E40EF" w:rsidRPr="001379D5" w:rsidRDefault="00AE6442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E6442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установки 2 твердотельных накопителя M.2 с аппаратным RAID емкостью </w:t>
            </w:r>
            <w:r w:rsidRPr="0085086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4</w:t>
            </w:r>
            <w:r w:rsidRPr="008508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E6442">
              <w:rPr>
                <w:rFonts w:ascii="Times New Roman" w:hAnsi="Times New Roman" w:cs="Times New Roman"/>
                <w:sz w:val="20"/>
                <w:szCs w:val="20"/>
              </w:rPr>
              <w:t>0 Гбайт;</w:t>
            </w:r>
          </w:p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Управляющий </w:t>
            </w:r>
            <w:r w:rsidRPr="001379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USB</w:t>
            </w: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 – не менее 1 шт. на передней панели;</w:t>
            </w:r>
          </w:p>
          <w:p w:rsidR="00832C8E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Видеоразъём</w:t>
            </w:r>
            <w:proofErr w:type="spellEnd"/>
            <w:r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 VGA – не менее 1 шт. на задней панели;</w:t>
            </w:r>
          </w:p>
          <w:p w:rsidR="00832C8E" w:rsidRPr="00B560AC" w:rsidRDefault="00EB24B5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Видеоразъём</w:t>
            </w:r>
            <w:proofErr w:type="spellEnd"/>
            <w:r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 VGA – не менее 1 шт.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передней</w:t>
            </w: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 панели;</w:t>
            </w:r>
          </w:p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COM порт – не менее 1 шт.</w:t>
            </w:r>
            <w:r w:rsidR="002678BB" w:rsidRPr="002678BB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 w:rsidR="002678BB">
              <w:rPr>
                <w:rFonts w:ascii="Times New Roman" w:hAnsi="Times New Roman" w:cs="Times New Roman"/>
                <w:sz w:val="20"/>
                <w:szCs w:val="20"/>
              </w:rPr>
              <w:t>задней панели</w:t>
            </w: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Вентилятор охлаждения</w:t>
            </w:r>
            <w:r w:rsidR="00F8639A">
              <w:rPr>
                <w:rFonts w:ascii="Times New Roman" w:hAnsi="Times New Roman" w:cs="Times New Roman"/>
                <w:sz w:val="20"/>
                <w:szCs w:val="20"/>
              </w:rPr>
              <w:t xml:space="preserve"> с возможностью «горячей» замены</w:t>
            </w: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 – не менее 6 шт.;</w:t>
            </w:r>
          </w:p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Сетевой контроллер – не менее </w:t>
            </w:r>
            <w:r w:rsidR="002C0A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 портов, не менее 100</w:t>
            </w:r>
            <w:r w:rsidR="00F954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 xml:space="preserve"> Мбит/с каждый;</w:t>
            </w:r>
          </w:p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Тип подключения для портов 1GbE - RJ45;</w:t>
            </w:r>
          </w:p>
          <w:p w:rsidR="00832C8E" w:rsidRPr="00DF584D" w:rsidRDefault="00832C8E" w:rsidP="005E7EAC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Порт управления сервером в условиях отсутствия физического доступа – не менее 1 шт. Тип подключения - RJ45</w:t>
            </w:r>
            <w:r w:rsidRPr="00DF58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678BB" w:rsidRPr="00B560AC" w:rsidRDefault="00B560AC" w:rsidP="005E7EAC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Рельсы для крепления в стойку</w:t>
            </w:r>
            <w:r w:rsidR="00F8639A">
              <w:rPr>
                <w:rFonts w:ascii="Times New Roman" w:hAnsi="Times New Roman" w:cs="Times New Roman"/>
                <w:sz w:val="20"/>
                <w:szCs w:val="20"/>
              </w:rPr>
              <w:t xml:space="preserve"> с кабелеукладчиком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наличие;</w:t>
            </w:r>
          </w:p>
        </w:tc>
      </w:tr>
      <w:tr w:rsidR="00832C8E" w:rsidRPr="001379D5" w:rsidTr="004A710D">
        <w:tc>
          <w:tcPr>
            <w:tcW w:w="813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Управление сервером в условиях отсутствия физического доступа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1" w:rsidRPr="00787A34" w:rsidRDefault="005D66F1" w:rsidP="005D66F1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Соответствие: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Удаленный доступ к консоли (</w:t>
            </w:r>
            <w:r w:rsidRPr="00893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KVM</w:t>
            </w: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893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Active</w:t>
            </w: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Directory</w:t>
            </w: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Доступ из любого места через стандартный браузер;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Полное удалённое управление питанием сервера;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Диагностика процессора и сервера — детализированные отчёты, статус;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 xml:space="preserve">Подключение </w:t>
            </w:r>
            <w:r w:rsidRPr="00893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-образа по сети;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 xml:space="preserve">Доступ по </w:t>
            </w:r>
            <w:r w:rsidRPr="00893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SSH</w:t>
            </w: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Поддержка внешнего сервера </w:t>
            </w:r>
            <w:r w:rsidRPr="00893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Syslog</w:t>
            </w: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Запускать сеанс удаленной консоли (аналогично удаленному рабочему столу, даже тогда, когда ОС не загружена), удаленно перезагрузить или включить/выключить систему, а также сопоставить виртуальный диск с удаленной общей папкой или развертыванием ОС;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Обеспечивать расширенные функции обновления, резервного копирования и восстановления обновлений встроенного ПО на сервере через графический интерфейс пользователя или интерфейс командной строки;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Обнаружение и инвентаризация системы;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Мониторинг работоспособности системы;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Просмотр и администрирование системных оповещений;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Просмотр сведений об оборудовании и отчетов о соответствии нормам;</w:t>
            </w:r>
          </w:p>
          <w:p w:rsidR="005D66F1" w:rsidRPr="00787A34" w:rsidRDefault="005D66F1" w:rsidP="005D6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93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 xml:space="preserve"> уведомления;</w:t>
            </w:r>
          </w:p>
          <w:p w:rsidR="00832C8E" w:rsidRPr="00787A34" w:rsidRDefault="005D66F1" w:rsidP="005D66F1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87A34">
              <w:rPr>
                <w:rFonts w:ascii="Times New Roman" w:hAnsi="Times New Roman" w:cs="Times New Roman"/>
                <w:sz w:val="20"/>
                <w:szCs w:val="20"/>
              </w:rPr>
              <w:t>Запись видео загрузки;</w:t>
            </w:r>
          </w:p>
        </w:tc>
      </w:tr>
      <w:tr w:rsidR="00832C8E" w:rsidRPr="005075C7" w:rsidTr="00910212">
        <w:trPr>
          <w:trHeight w:val="397"/>
        </w:trPr>
        <w:tc>
          <w:tcPr>
            <w:tcW w:w="813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32C8E" w:rsidRPr="001379D5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Дата изготовления товара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C8E" w:rsidRPr="005075C7" w:rsidRDefault="00832C8E" w:rsidP="00910212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3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Не</w:t>
            </w:r>
            <w:r w:rsidRPr="00507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93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ранее</w:t>
            </w:r>
            <w:r w:rsidR="002678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201</w:t>
            </w:r>
            <w:r w:rsidR="0091021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07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933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года</w:t>
            </w:r>
            <w:r w:rsidRPr="00507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</w:tc>
      </w:tr>
      <w:tr w:rsidR="00910212" w:rsidRPr="006C21A0" w:rsidTr="00910212">
        <w:trPr>
          <w:trHeight w:val="62"/>
        </w:trPr>
        <w:tc>
          <w:tcPr>
            <w:tcW w:w="813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910212" w:rsidRPr="001379D5" w:rsidRDefault="00910212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910212" w:rsidRPr="001379D5" w:rsidRDefault="00910212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910212" w:rsidRPr="001379D5" w:rsidRDefault="00910212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212" w:rsidRPr="001379D5" w:rsidRDefault="00910212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в составе сервера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212" w:rsidRPr="00910212" w:rsidRDefault="00910212" w:rsidP="00910212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10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Лицензия</w:t>
            </w:r>
            <w:proofErr w:type="spellEnd"/>
            <w:r w:rsidRPr="00910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OEM Windows Server Standard 2019 64Bit Russian 1pk DSP OEI DVD 16 Core</w:t>
            </w:r>
          </w:p>
          <w:p w:rsidR="00910212" w:rsidRPr="00893371" w:rsidRDefault="00910212" w:rsidP="00910212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10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Лицензия</w:t>
            </w:r>
            <w:proofErr w:type="spellEnd"/>
            <w:r w:rsidRPr="00910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OEM </w:t>
            </w:r>
            <w:proofErr w:type="spellStart"/>
            <w:r w:rsidRPr="00910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AddLic</w:t>
            </w:r>
            <w:proofErr w:type="spellEnd"/>
            <w:r w:rsidRPr="00910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 Core Windows Server Standard 2019 English 1pk DSP OEI </w:t>
            </w:r>
          </w:p>
        </w:tc>
      </w:tr>
      <w:tr w:rsidR="00832C8E" w:rsidRPr="006C21A0" w:rsidTr="004A710D">
        <w:tc>
          <w:tcPr>
            <w:tcW w:w="813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C8E" w:rsidRPr="005075C7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C8E" w:rsidRPr="005075C7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C8E" w:rsidRPr="005075C7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2C8E" w:rsidRPr="005075C7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79D5">
              <w:rPr>
                <w:rFonts w:ascii="Times New Roman" w:eastAsia="SimSun" w:hAnsi="Times New Roman" w:cs="Mangal"/>
                <w:bCs/>
                <w:kern w:val="3"/>
                <w:sz w:val="20"/>
                <w:szCs w:val="20"/>
                <w:lang w:eastAsia="zh-CN" w:bidi="hi-IN"/>
              </w:rPr>
              <w:t>Поддерживаемые</w:t>
            </w:r>
            <w:r w:rsidRPr="005075C7">
              <w:rPr>
                <w:rFonts w:ascii="Times New Roman" w:eastAsia="SimSun" w:hAnsi="Times New Roman" w:cs="Mangal"/>
                <w:bCs/>
                <w:kern w:val="3"/>
                <w:sz w:val="20"/>
                <w:szCs w:val="20"/>
                <w:lang w:val="en-US" w:eastAsia="zh-CN" w:bidi="hi-IN"/>
              </w:rPr>
              <w:t xml:space="preserve"> </w:t>
            </w:r>
            <w:r w:rsidRPr="001379D5">
              <w:rPr>
                <w:rFonts w:ascii="Times New Roman" w:eastAsia="SimSun" w:hAnsi="Times New Roman" w:cs="Mangal"/>
                <w:bCs/>
                <w:kern w:val="3"/>
                <w:sz w:val="20"/>
                <w:szCs w:val="20"/>
                <w:lang w:eastAsia="zh-CN" w:bidi="hi-IN"/>
              </w:rPr>
              <w:t>ОС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5C7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="006213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icrosoft Windows Server</w:t>
            </w:r>
            <w:r w:rsidR="00507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5075C7" w:rsidRPr="005075C7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</w:t>
            </w:r>
            <w:r w:rsidR="006213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 Hat Enterprise Linux</w:t>
            </w:r>
            <w:r w:rsidR="005075C7" w:rsidRPr="00507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;;</w:t>
            </w:r>
          </w:p>
          <w:p w:rsidR="005075C7" w:rsidRPr="005075C7" w:rsidRDefault="00832C8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SUSE Li</w:t>
            </w:r>
            <w:r w:rsidR="006213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nux Enterprise Server</w:t>
            </w:r>
            <w:r w:rsidR="005075C7" w:rsidRPr="00507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832C8E" w:rsidRDefault="006213E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VMware vSphere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ESXi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="005075C7" w:rsidRPr="00507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6213EE" w:rsidRPr="00D91A2D" w:rsidRDefault="006213E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1A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Canonical</w:t>
            </w:r>
          </w:p>
          <w:p w:rsidR="006213EE" w:rsidRPr="00D91A2D" w:rsidRDefault="006213E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1A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Ubuntu</w:t>
            </w:r>
          </w:p>
          <w:p w:rsidR="006213EE" w:rsidRPr="00242770" w:rsidRDefault="006213E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1A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LTS</w:t>
            </w:r>
            <w:r w:rsidRPr="002427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91A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Citrix</w:t>
            </w:r>
          </w:p>
          <w:p w:rsidR="006213EE" w:rsidRPr="00242770" w:rsidRDefault="006213EE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427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XenServer</w:t>
            </w:r>
            <w:proofErr w:type="spellEnd"/>
          </w:p>
        </w:tc>
      </w:tr>
      <w:tr w:rsidR="0060579D" w:rsidRPr="006213EE" w:rsidTr="004A710D">
        <w:tc>
          <w:tcPr>
            <w:tcW w:w="813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60579D" w:rsidRPr="00242770" w:rsidRDefault="0060579D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60579D" w:rsidRPr="00242770" w:rsidRDefault="0060579D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60579D" w:rsidRPr="00242770" w:rsidRDefault="0060579D" w:rsidP="009C2820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0579D" w:rsidRPr="00D91A2D" w:rsidRDefault="0060579D" w:rsidP="0036417D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9D5">
              <w:rPr>
                <w:rFonts w:ascii="Times New Roman" w:hAnsi="Times New Roman" w:cs="Times New Roman"/>
                <w:sz w:val="20"/>
                <w:szCs w:val="20"/>
              </w:rPr>
              <w:t>Гарантия</w:t>
            </w:r>
          </w:p>
        </w:tc>
        <w:tc>
          <w:tcPr>
            <w:tcW w:w="24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5179" w:rsidRPr="008E5179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sz w:val="20"/>
                <w:szCs w:val="20"/>
              </w:rPr>
              <w:t>Детали – не менее 5 лет;</w:t>
            </w:r>
          </w:p>
          <w:p w:rsidR="008E5179" w:rsidRPr="008E5179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sz w:val="20"/>
                <w:szCs w:val="20"/>
              </w:rPr>
              <w:t>Работы – не менее 5 лет;</w:t>
            </w:r>
          </w:p>
          <w:p w:rsidR="0060579D" w:rsidRPr="0085086B" w:rsidRDefault="008E5179" w:rsidP="008E517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sz w:val="20"/>
                <w:szCs w:val="20"/>
              </w:rPr>
              <w:t>Обслуживание с выездом специалиста на место установки оборудования на следующий рабочий день – не менее 5 лет.</w:t>
            </w:r>
          </w:p>
        </w:tc>
      </w:tr>
    </w:tbl>
    <w:p w:rsidR="00F266E6" w:rsidRPr="00033A29" w:rsidRDefault="00F266E6" w:rsidP="0060579D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</w:rPr>
      </w:pPr>
    </w:p>
    <w:p w:rsidR="0012766D" w:rsidRPr="00FD3F77" w:rsidRDefault="0012766D" w:rsidP="00FD3F77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FD3F7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Товар должен поставляться в упаковке, содержащей заводскую маркировку обеспечивающую возможность однозначно идентифицировать товар, обеспечивающую сохранность во время транспортировки и хранения.</w:t>
      </w:r>
    </w:p>
    <w:p w:rsidR="00EA6543" w:rsidRPr="00FD3F77" w:rsidRDefault="0012766D" w:rsidP="00FD3F77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FD3F7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Поставляемый товар должен соответствовать по качеству действующим стандартам, иным требованиям, предъявляемым законодательством Российской Федерации к данной категории товара, а также требованиям, предъявляемым Заказчиком. </w:t>
      </w:r>
      <w:r w:rsidR="00F266E6" w:rsidRPr="00FD3F7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Одновременно с поставкой товара, в подтверждение соответствия поставляемого товара требованиям технического задания, исполнитель предоставляет сопроводительную документацию: заверенную копию сертификата соответствия (при необходимости); оригинал технического паспорта или иного документа, содержащего всю информацию о поставляемом товаре на русском языке; гарантийный талон (талоны).</w:t>
      </w:r>
    </w:p>
    <w:p w:rsidR="003C02FE" w:rsidRPr="00FD3F77" w:rsidRDefault="003C02FE" w:rsidP="00FD3F7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C7FEA" w:rsidRPr="00FD3F77" w:rsidRDefault="002C7FEA" w:rsidP="00FD3F7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FD3F77">
        <w:rPr>
          <w:rFonts w:ascii="Times New Roman" w:eastAsia="SimSun" w:hAnsi="Times New Roman" w:cs="Times New Roman"/>
          <w:b/>
          <w:kern w:val="3"/>
          <w:sz w:val="24"/>
          <w:szCs w:val="24"/>
        </w:rPr>
        <w:t>Требования гарантии качества поставляемого товара:</w:t>
      </w:r>
    </w:p>
    <w:p w:rsidR="003C02FE" w:rsidRPr="00FD3F77" w:rsidRDefault="00130BDC" w:rsidP="00FD3F77">
      <w:pPr>
        <w:spacing w:line="240" w:lineRule="auto"/>
        <w:ind w:firstLine="708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Гарантийный срок</w:t>
      </w:r>
      <w:r w:rsidR="001379D5">
        <w:rPr>
          <w:rFonts w:ascii="Times New Roman" w:eastAsia="SimSun" w:hAnsi="Times New Roman" w:cs="Times New Roman"/>
          <w:kern w:val="3"/>
          <w:sz w:val="24"/>
          <w:szCs w:val="24"/>
        </w:rPr>
        <w:t xml:space="preserve"> на сервер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</w:t>
      </w:r>
      <w:r w:rsidR="002C7FEA" w:rsidRPr="00FD3F77">
        <w:rPr>
          <w:rFonts w:ascii="Times New Roman" w:eastAsia="SimSun" w:hAnsi="Times New Roman" w:cs="Times New Roman"/>
          <w:kern w:val="3"/>
          <w:sz w:val="24"/>
          <w:szCs w:val="24"/>
        </w:rPr>
        <w:t xml:space="preserve">должен составлять </w:t>
      </w:r>
      <w:r w:rsidR="00AA7D4E" w:rsidRPr="00351C13">
        <w:rPr>
          <w:rFonts w:ascii="Times New Roman" w:eastAsia="SimSun" w:hAnsi="Times New Roman" w:cs="Times New Roman"/>
          <w:kern w:val="3"/>
          <w:sz w:val="24"/>
          <w:szCs w:val="24"/>
        </w:rPr>
        <w:t xml:space="preserve">не менее </w:t>
      </w:r>
      <w:r w:rsidRPr="00351C13">
        <w:rPr>
          <w:rFonts w:ascii="Times New Roman" w:eastAsia="SimSun" w:hAnsi="Times New Roman" w:cs="Times New Roman"/>
          <w:kern w:val="3"/>
          <w:sz w:val="24"/>
          <w:szCs w:val="24"/>
        </w:rPr>
        <w:t>60</w:t>
      </w:r>
      <w:r w:rsidR="002C7FEA" w:rsidRPr="00351C13">
        <w:rPr>
          <w:rFonts w:ascii="Times New Roman" w:eastAsia="SimSun" w:hAnsi="Times New Roman" w:cs="Times New Roman"/>
          <w:kern w:val="3"/>
          <w:sz w:val="24"/>
          <w:szCs w:val="24"/>
        </w:rPr>
        <w:t xml:space="preserve"> месяцев</w:t>
      </w:r>
      <w:r w:rsidR="002C7FEA" w:rsidRPr="00FD3F77">
        <w:rPr>
          <w:rFonts w:ascii="Times New Roman" w:eastAsia="SimSun" w:hAnsi="Times New Roman" w:cs="Times New Roman"/>
          <w:kern w:val="3"/>
          <w:sz w:val="24"/>
          <w:szCs w:val="24"/>
        </w:rPr>
        <w:t>, но не менее гарантийного срока Производителя.</w:t>
      </w:r>
      <w:r w:rsidR="00BA6182">
        <w:rPr>
          <w:rFonts w:ascii="Times New Roman" w:eastAsia="SimSun" w:hAnsi="Times New Roman" w:cs="Times New Roman"/>
          <w:kern w:val="3"/>
          <w:sz w:val="24"/>
          <w:szCs w:val="24"/>
        </w:rPr>
        <w:t xml:space="preserve"> </w:t>
      </w:r>
      <w:r w:rsidR="00BA6182" w:rsidRPr="00351C13">
        <w:rPr>
          <w:rFonts w:ascii="Times New Roman" w:eastAsia="SimSun" w:hAnsi="Times New Roman" w:cs="Times New Roman"/>
          <w:kern w:val="3"/>
          <w:sz w:val="24"/>
          <w:szCs w:val="24"/>
        </w:rPr>
        <w:t>Гарантия</w:t>
      </w:r>
      <w:r w:rsidR="001379D5">
        <w:rPr>
          <w:rFonts w:ascii="Times New Roman" w:eastAsia="SimSun" w:hAnsi="Times New Roman" w:cs="Times New Roman"/>
          <w:kern w:val="3"/>
          <w:sz w:val="24"/>
          <w:szCs w:val="24"/>
        </w:rPr>
        <w:t xml:space="preserve"> сервера</w:t>
      </w:r>
      <w:r w:rsidR="00BA6182" w:rsidRPr="00351C13">
        <w:rPr>
          <w:rFonts w:ascii="Times New Roman" w:eastAsia="SimSun" w:hAnsi="Times New Roman" w:cs="Times New Roman"/>
          <w:kern w:val="3"/>
          <w:sz w:val="24"/>
          <w:szCs w:val="24"/>
        </w:rPr>
        <w:t xml:space="preserve"> обеспечив</w:t>
      </w:r>
      <w:r w:rsidR="001379D5">
        <w:rPr>
          <w:rFonts w:ascii="Times New Roman" w:eastAsia="SimSun" w:hAnsi="Times New Roman" w:cs="Times New Roman"/>
          <w:kern w:val="3"/>
          <w:sz w:val="24"/>
          <w:szCs w:val="24"/>
        </w:rPr>
        <w:t>ается на месте установки</w:t>
      </w:r>
      <w:r w:rsidR="00BA6182" w:rsidRPr="00351C13">
        <w:rPr>
          <w:rFonts w:ascii="Times New Roman" w:eastAsia="SimSun" w:hAnsi="Times New Roman" w:cs="Times New Roman"/>
          <w:kern w:val="3"/>
          <w:sz w:val="24"/>
          <w:szCs w:val="24"/>
        </w:rPr>
        <w:t>.</w:t>
      </w:r>
      <w:r w:rsidR="00242770">
        <w:rPr>
          <w:rFonts w:ascii="Times New Roman" w:eastAsia="SimSun" w:hAnsi="Times New Roman" w:cs="Times New Roman"/>
          <w:kern w:val="3"/>
          <w:sz w:val="24"/>
          <w:szCs w:val="24"/>
        </w:rPr>
        <w:t xml:space="preserve"> Реакция на гарантийный случай не позднее следующего рабочего дня.</w:t>
      </w:r>
      <w:r w:rsidR="002C7FEA" w:rsidRPr="00FD3F77">
        <w:rPr>
          <w:rFonts w:ascii="Times New Roman" w:eastAsia="SimSun" w:hAnsi="Times New Roman" w:cs="Times New Roman"/>
          <w:kern w:val="3"/>
          <w:sz w:val="24"/>
          <w:szCs w:val="24"/>
        </w:rPr>
        <w:t xml:space="preserve"> Гарантийный срок начинает действовать с даты подписания Сторонами акта приема – передачи оборудования и товарной накладной. </w:t>
      </w:r>
    </w:p>
    <w:p w:rsidR="001379D5" w:rsidRPr="001379D5" w:rsidRDefault="002C7FEA" w:rsidP="005075C7">
      <w:pPr>
        <w:spacing w:line="240" w:lineRule="auto"/>
        <w:ind w:firstLine="708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FD3F77">
        <w:rPr>
          <w:rFonts w:ascii="Times New Roman" w:eastAsia="SimSun" w:hAnsi="Times New Roman" w:cs="Times New Roman"/>
          <w:kern w:val="3"/>
          <w:sz w:val="24"/>
          <w:szCs w:val="24"/>
        </w:rPr>
        <w:t>В течение гарантийного периода</w:t>
      </w:r>
      <w:r w:rsidR="001379D5">
        <w:rPr>
          <w:rFonts w:ascii="Times New Roman" w:eastAsia="SimSun" w:hAnsi="Times New Roman" w:cs="Times New Roman"/>
          <w:kern w:val="3"/>
          <w:sz w:val="24"/>
          <w:szCs w:val="24"/>
        </w:rPr>
        <w:t xml:space="preserve"> на сервер</w:t>
      </w:r>
      <w:r w:rsidRPr="00FD3F77">
        <w:rPr>
          <w:rFonts w:ascii="Times New Roman" w:eastAsia="SimSun" w:hAnsi="Times New Roman" w:cs="Times New Roman"/>
          <w:kern w:val="3"/>
          <w:sz w:val="24"/>
          <w:szCs w:val="24"/>
        </w:rPr>
        <w:t xml:space="preserve"> Поставщик осущес</w:t>
      </w:r>
      <w:r w:rsidR="001379D5">
        <w:rPr>
          <w:rFonts w:ascii="Times New Roman" w:eastAsia="SimSun" w:hAnsi="Times New Roman" w:cs="Times New Roman"/>
          <w:kern w:val="3"/>
          <w:sz w:val="24"/>
          <w:szCs w:val="24"/>
        </w:rPr>
        <w:t>твляет гарантийное обслуживание</w:t>
      </w:r>
      <w:r w:rsidRPr="00FD3F77">
        <w:rPr>
          <w:rFonts w:ascii="Times New Roman" w:eastAsia="SimSun" w:hAnsi="Times New Roman" w:cs="Times New Roman"/>
          <w:kern w:val="3"/>
          <w:sz w:val="24"/>
          <w:szCs w:val="24"/>
        </w:rPr>
        <w:t xml:space="preserve">, все расходы, связанные с таким обслуживанием, осуществляются за счет Поставщика. </w:t>
      </w:r>
      <w:r w:rsidR="003C02FE" w:rsidRPr="00FD3F77">
        <w:rPr>
          <w:rFonts w:ascii="Times New Roman" w:hAnsi="Times New Roman" w:cs="Times New Roman"/>
          <w:sz w:val="24"/>
          <w:szCs w:val="24"/>
        </w:rPr>
        <w:t xml:space="preserve">В случае необходимости перемещение вышедшего из строя оборудования в </w:t>
      </w:r>
      <w:r w:rsidR="003C02FE" w:rsidRPr="00FD3F77">
        <w:rPr>
          <w:rFonts w:ascii="Times New Roman" w:hAnsi="Times New Roman" w:cs="Times New Roman"/>
          <w:sz w:val="24"/>
          <w:szCs w:val="24"/>
        </w:rPr>
        <w:lastRenderedPageBreak/>
        <w:t>гарантийных случаях осуществляется поставщиком в обоих направлениях (от заказчика – места поставки и обратно).</w:t>
      </w:r>
    </w:p>
    <w:sectPr w:rsidR="001379D5" w:rsidRPr="001379D5">
      <w:pgSz w:w="11906" w:h="16838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67DF"/>
    <w:multiLevelType w:val="hybridMultilevel"/>
    <w:tmpl w:val="11705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E5E34"/>
    <w:multiLevelType w:val="hybridMultilevel"/>
    <w:tmpl w:val="07D6F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C2A60"/>
    <w:multiLevelType w:val="hybridMultilevel"/>
    <w:tmpl w:val="9484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43593"/>
    <w:multiLevelType w:val="hybridMultilevel"/>
    <w:tmpl w:val="9520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C667C"/>
    <w:multiLevelType w:val="hybridMultilevel"/>
    <w:tmpl w:val="C1E4C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176359"/>
    <w:multiLevelType w:val="hybridMultilevel"/>
    <w:tmpl w:val="86026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1186FBC"/>
    <w:multiLevelType w:val="hybridMultilevel"/>
    <w:tmpl w:val="C6844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B570EF"/>
    <w:multiLevelType w:val="hybridMultilevel"/>
    <w:tmpl w:val="85F0B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7C4"/>
    <w:rsid w:val="00022E71"/>
    <w:rsid w:val="00033A29"/>
    <w:rsid w:val="00036296"/>
    <w:rsid w:val="00055864"/>
    <w:rsid w:val="00060F5A"/>
    <w:rsid w:val="00076F0D"/>
    <w:rsid w:val="00081252"/>
    <w:rsid w:val="000944F5"/>
    <w:rsid w:val="000B0483"/>
    <w:rsid w:val="0011685B"/>
    <w:rsid w:val="00117B8D"/>
    <w:rsid w:val="0012766D"/>
    <w:rsid w:val="00130BDC"/>
    <w:rsid w:val="001379D5"/>
    <w:rsid w:val="00144EE4"/>
    <w:rsid w:val="00164828"/>
    <w:rsid w:val="00242770"/>
    <w:rsid w:val="00242A15"/>
    <w:rsid w:val="00253348"/>
    <w:rsid w:val="002678BB"/>
    <w:rsid w:val="002759BD"/>
    <w:rsid w:val="00280367"/>
    <w:rsid w:val="002C0A25"/>
    <w:rsid w:val="002C7FEA"/>
    <w:rsid w:val="00351C13"/>
    <w:rsid w:val="0036417D"/>
    <w:rsid w:val="003971ED"/>
    <w:rsid w:val="003A7EFB"/>
    <w:rsid w:val="003C02FE"/>
    <w:rsid w:val="003E40EF"/>
    <w:rsid w:val="003F6393"/>
    <w:rsid w:val="00417B48"/>
    <w:rsid w:val="004229B8"/>
    <w:rsid w:val="0047182D"/>
    <w:rsid w:val="004A710D"/>
    <w:rsid w:val="004C773D"/>
    <w:rsid w:val="00505418"/>
    <w:rsid w:val="005075C7"/>
    <w:rsid w:val="00525103"/>
    <w:rsid w:val="00527306"/>
    <w:rsid w:val="00544113"/>
    <w:rsid w:val="00554E64"/>
    <w:rsid w:val="005661C6"/>
    <w:rsid w:val="005949BC"/>
    <w:rsid w:val="005A65CD"/>
    <w:rsid w:val="005C196C"/>
    <w:rsid w:val="005D66F1"/>
    <w:rsid w:val="005E15CC"/>
    <w:rsid w:val="005E7EAC"/>
    <w:rsid w:val="0060579D"/>
    <w:rsid w:val="006213EE"/>
    <w:rsid w:val="00626078"/>
    <w:rsid w:val="00671F63"/>
    <w:rsid w:val="006C21A0"/>
    <w:rsid w:val="006D2C0E"/>
    <w:rsid w:val="006F1E0D"/>
    <w:rsid w:val="007012AA"/>
    <w:rsid w:val="00711D7A"/>
    <w:rsid w:val="00752526"/>
    <w:rsid w:val="007527D8"/>
    <w:rsid w:val="00766904"/>
    <w:rsid w:val="00780C2C"/>
    <w:rsid w:val="00787A34"/>
    <w:rsid w:val="007A189F"/>
    <w:rsid w:val="007B1EA7"/>
    <w:rsid w:val="00804426"/>
    <w:rsid w:val="00832C8E"/>
    <w:rsid w:val="0083574C"/>
    <w:rsid w:val="008465A5"/>
    <w:rsid w:val="0085086B"/>
    <w:rsid w:val="00857FED"/>
    <w:rsid w:val="00863784"/>
    <w:rsid w:val="00872782"/>
    <w:rsid w:val="008862C8"/>
    <w:rsid w:val="00893371"/>
    <w:rsid w:val="008E5179"/>
    <w:rsid w:val="008E7EF1"/>
    <w:rsid w:val="00910212"/>
    <w:rsid w:val="0091363D"/>
    <w:rsid w:val="009376C8"/>
    <w:rsid w:val="00963E0A"/>
    <w:rsid w:val="00974500"/>
    <w:rsid w:val="009808D4"/>
    <w:rsid w:val="009873BE"/>
    <w:rsid w:val="0099423A"/>
    <w:rsid w:val="009C2820"/>
    <w:rsid w:val="009D5683"/>
    <w:rsid w:val="00A1620F"/>
    <w:rsid w:val="00A46C4A"/>
    <w:rsid w:val="00A628E1"/>
    <w:rsid w:val="00A6301E"/>
    <w:rsid w:val="00A849D7"/>
    <w:rsid w:val="00AA7D4E"/>
    <w:rsid w:val="00AB4E72"/>
    <w:rsid w:val="00AB6CAE"/>
    <w:rsid w:val="00AD09A1"/>
    <w:rsid w:val="00AE6442"/>
    <w:rsid w:val="00B560AC"/>
    <w:rsid w:val="00B946D7"/>
    <w:rsid w:val="00BA2E51"/>
    <w:rsid w:val="00BA6182"/>
    <w:rsid w:val="00C37758"/>
    <w:rsid w:val="00C47759"/>
    <w:rsid w:val="00CE1414"/>
    <w:rsid w:val="00CE65AB"/>
    <w:rsid w:val="00D25E54"/>
    <w:rsid w:val="00D35D06"/>
    <w:rsid w:val="00D66AB6"/>
    <w:rsid w:val="00D72715"/>
    <w:rsid w:val="00D8448F"/>
    <w:rsid w:val="00D91A2D"/>
    <w:rsid w:val="00DA44E3"/>
    <w:rsid w:val="00DC7B38"/>
    <w:rsid w:val="00DE1000"/>
    <w:rsid w:val="00DF584D"/>
    <w:rsid w:val="00E051FD"/>
    <w:rsid w:val="00E247C4"/>
    <w:rsid w:val="00E269C7"/>
    <w:rsid w:val="00E32349"/>
    <w:rsid w:val="00E44413"/>
    <w:rsid w:val="00E848B6"/>
    <w:rsid w:val="00EA0B1A"/>
    <w:rsid w:val="00EA6543"/>
    <w:rsid w:val="00EB24B5"/>
    <w:rsid w:val="00EE61FB"/>
    <w:rsid w:val="00EE64E9"/>
    <w:rsid w:val="00F266E6"/>
    <w:rsid w:val="00F65B97"/>
    <w:rsid w:val="00F7165C"/>
    <w:rsid w:val="00F736EE"/>
    <w:rsid w:val="00F8639A"/>
    <w:rsid w:val="00F95404"/>
    <w:rsid w:val="00FD3F77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8C0FFD-54B5-4FEB-9D14-DC15DC9C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Текст ТД"/>
    <w:basedOn w:val="a0"/>
    <w:link w:val="a4"/>
    <w:qFormat/>
    <w:rsid w:val="00E44413"/>
    <w:pPr>
      <w:numPr>
        <w:numId w:val="1"/>
      </w:numPr>
      <w:autoSpaceDE w:val="0"/>
      <w:autoSpaceDN w:val="0"/>
      <w:adjustRightInd w:val="0"/>
      <w:spacing w:after="20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Текст ТД Знак"/>
    <w:link w:val="a"/>
    <w:rsid w:val="00E44413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0"/>
    <w:link w:val="a6"/>
    <w:uiPriority w:val="99"/>
    <w:semiHidden/>
    <w:unhideWhenUsed/>
    <w:rsid w:val="00FD3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FD3F77"/>
    <w:rPr>
      <w:rFonts w:ascii="Segoe UI" w:hAnsi="Segoe UI" w:cs="Segoe UI"/>
      <w:sz w:val="18"/>
      <w:szCs w:val="18"/>
    </w:rPr>
  </w:style>
  <w:style w:type="paragraph" w:styleId="a7">
    <w:name w:val="List Paragraph"/>
    <w:basedOn w:val="a0"/>
    <w:uiPriority w:val="34"/>
    <w:qFormat/>
    <w:rsid w:val="00752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4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4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Скарга</dc:creator>
  <cp:lastModifiedBy>Каблаш Сергей Владимирович</cp:lastModifiedBy>
  <cp:revision>27</cp:revision>
  <cp:lastPrinted>2021-10-12T01:35:00Z</cp:lastPrinted>
  <dcterms:created xsi:type="dcterms:W3CDTF">2018-06-20T10:50:00Z</dcterms:created>
  <dcterms:modified xsi:type="dcterms:W3CDTF">2021-10-12T01:56:00Z</dcterms:modified>
</cp:coreProperties>
</file>