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55558C">
        <w:rPr>
          <w:sz w:val="24"/>
          <w:szCs w:val="24"/>
        </w:rPr>
        <w:t>6</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AD7B5B" w:rsidRDefault="00C92BAA" w:rsidP="00C92BAA">
            <w:pPr>
              <w:suppressAutoHyphens/>
              <w:ind w:right="57"/>
              <w:jc w:val="both"/>
              <w:rPr>
                <w:i/>
                <w:sz w:val="24"/>
                <w:szCs w:val="24"/>
              </w:rPr>
            </w:pPr>
            <w:r>
              <w:rPr>
                <w:i/>
                <w:sz w:val="24"/>
                <w:szCs w:val="24"/>
              </w:rPr>
              <w:t>Вакцинация против дизентерии (Шигеллвак), гепатита А сотрудников детских садов АН ДОО «Алма</w:t>
            </w:r>
            <w:r w:rsidR="002318E1">
              <w:rPr>
                <w:i/>
                <w:sz w:val="24"/>
                <w:szCs w:val="24"/>
              </w:rPr>
              <w:t>зик» Мирнинского отделения.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781A9A" w:rsidRDefault="00086E2B" w:rsidP="00781A9A">
            <w:pPr>
              <w:suppressAutoHyphens/>
              <w:ind w:right="57"/>
              <w:jc w:val="both"/>
              <w:rPr>
                <w:i/>
                <w:sz w:val="24"/>
                <w:szCs w:val="24"/>
              </w:rPr>
            </w:pPr>
            <w:r w:rsidRPr="00781A9A">
              <w:rPr>
                <w:color w:val="808080"/>
                <w:sz w:val="24"/>
                <w:szCs w:val="24"/>
                <w:shd w:val="clear" w:color="auto" w:fill="FFFFFF"/>
              </w:rPr>
              <w:t> </w:t>
            </w:r>
            <w:r w:rsidR="00781A9A">
              <w:rPr>
                <w:i/>
                <w:sz w:val="24"/>
                <w:szCs w:val="24"/>
              </w:rPr>
              <w:t>86.90.19.110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781A9A" w:rsidRDefault="00781A9A" w:rsidP="005D7098">
            <w:pPr>
              <w:suppressAutoHyphens/>
              <w:ind w:right="57"/>
              <w:jc w:val="both"/>
              <w:rPr>
                <w:i/>
                <w:sz w:val="24"/>
                <w:szCs w:val="24"/>
              </w:rPr>
            </w:pPr>
            <w:r>
              <w:rPr>
                <w:i/>
                <w:sz w:val="24"/>
                <w:szCs w:val="24"/>
              </w:rPr>
              <w:t>71.20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781A9A" w:rsidRDefault="00C92BAA" w:rsidP="005D7098">
            <w:pPr>
              <w:suppressAutoHyphens/>
              <w:ind w:right="57"/>
              <w:jc w:val="both"/>
              <w:rPr>
                <w:i/>
                <w:sz w:val="24"/>
                <w:szCs w:val="24"/>
                <w:vertAlign w:val="superscript"/>
              </w:rPr>
            </w:pPr>
            <w:r w:rsidRPr="00781A9A">
              <w:rPr>
                <w:i/>
                <w:sz w:val="24"/>
                <w:szCs w:val="24"/>
                <w:vertAlign w:val="superscript"/>
              </w:rPr>
              <w:t>Не подлежит измерению</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DB7615" w:rsidP="005D7098">
            <w:pPr>
              <w:ind w:right="57"/>
              <w:contextualSpacing/>
              <w:jc w:val="both"/>
              <w:rPr>
                <w:color w:val="000000"/>
                <w:sz w:val="24"/>
                <w:szCs w:val="24"/>
              </w:rPr>
            </w:pPr>
            <w:r w:rsidRPr="00AD7B5B">
              <w:rPr>
                <w:color w:val="000000"/>
                <w:sz w:val="24"/>
                <w:szCs w:val="24"/>
              </w:rPr>
              <w:t>Количество (</w:t>
            </w:r>
            <w:r w:rsidR="0009660A" w:rsidRPr="00AD7B5B">
              <w:rPr>
                <w:color w:val="000000"/>
                <w:sz w:val="24"/>
                <w:szCs w:val="24"/>
              </w:rPr>
              <w:t>объем)</w:t>
            </w:r>
          </w:p>
        </w:tc>
        <w:tc>
          <w:tcPr>
            <w:tcW w:w="4711" w:type="dxa"/>
            <w:shd w:val="clear" w:color="auto" w:fill="auto"/>
          </w:tcPr>
          <w:p w:rsidR="0009660A" w:rsidRPr="00DB7615" w:rsidRDefault="002318E1" w:rsidP="007E3DE1">
            <w:pPr>
              <w:suppressAutoHyphens/>
              <w:ind w:right="57"/>
              <w:jc w:val="both"/>
              <w:rPr>
                <w:i/>
                <w:sz w:val="24"/>
                <w:szCs w:val="24"/>
                <w:vertAlign w:val="superscript"/>
              </w:rPr>
            </w:pPr>
            <w:r w:rsidRPr="00DB7615">
              <w:rPr>
                <w:i/>
                <w:sz w:val="24"/>
                <w:szCs w:val="24"/>
                <w:vertAlign w:val="superscript"/>
              </w:rPr>
              <w:t>20 садов</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781A9A" w:rsidRDefault="007F69DD" w:rsidP="005D7098">
            <w:pPr>
              <w:suppressAutoHyphens/>
              <w:ind w:right="57"/>
              <w:jc w:val="both"/>
              <w:rPr>
                <w:i/>
                <w:sz w:val="24"/>
                <w:szCs w:val="24"/>
              </w:rPr>
            </w:pPr>
            <w:r w:rsidRPr="00781A9A">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781A9A" w:rsidRDefault="0009660A" w:rsidP="005D7098">
            <w:pPr>
              <w:tabs>
                <w:tab w:val="right" w:pos="5845"/>
              </w:tabs>
              <w:spacing w:before="60" w:after="60"/>
              <w:rPr>
                <w:sz w:val="24"/>
                <w:szCs w:val="24"/>
              </w:rPr>
            </w:pPr>
            <w:r w:rsidRPr="00781A9A">
              <w:rPr>
                <w:sz w:val="24"/>
                <w:szCs w:val="24"/>
              </w:rPr>
              <w:t>РС (</w:t>
            </w:r>
            <w:r w:rsidR="007F69DD" w:rsidRPr="00781A9A">
              <w:rPr>
                <w:sz w:val="24"/>
                <w:szCs w:val="24"/>
              </w:rPr>
              <w:t>Я), г. Мирный, ул. Ленина, дом 14 «А»</w:t>
            </w:r>
          </w:p>
          <w:p w:rsidR="0009660A" w:rsidRPr="00781A9A"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DB7615" w:rsidP="000C7FAC">
            <w:pPr>
              <w:suppressAutoHyphens/>
              <w:ind w:right="57"/>
              <w:jc w:val="both"/>
              <w:rPr>
                <w:i/>
                <w:sz w:val="24"/>
                <w:szCs w:val="24"/>
              </w:rPr>
            </w:pPr>
            <w:r>
              <w:rPr>
                <w:sz w:val="24"/>
                <w:szCs w:val="24"/>
              </w:rPr>
              <w:t>СПОСдиП Кушаева Гульсария Мухаметкужовна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00DB7615">
              <w:rPr>
                <w:i/>
                <w:sz w:val="24"/>
                <w:szCs w:val="24"/>
              </w:rPr>
              <w:t>(41136) 4-27-34</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C92BAA" w:rsidRDefault="00DB7615" w:rsidP="005D7098">
            <w:pPr>
              <w:suppressAutoHyphens/>
              <w:ind w:right="57"/>
              <w:jc w:val="both"/>
              <w:rPr>
                <w:i/>
                <w:sz w:val="24"/>
                <w:szCs w:val="24"/>
              </w:rPr>
            </w:pPr>
            <w:r>
              <w:rPr>
                <w:i/>
                <w:sz w:val="24"/>
                <w:szCs w:val="24"/>
                <w:lang w:val="en-US"/>
              </w:rPr>
              <w:t>KushaevaGM</w:t>
            </w:r>
            <w:r w:rsidR="00C92BAA" w:rsidRPr="00C92BAA">
              <w:rPr>
                <w:i/>
                <w:sz w:val="24"/>
                <w:szCs w:val="24"/>
              </w:rPr>
              <w:t>@anodo.ru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AD7B5B" w:rsidRDefault="00184F2A" w:rsidP="00184F2A">
            <w:pPr>
              <w:suppressAutoHyphens/>
              <w:ind w:right="57"/>
              <w:jc w:val="both"/>
              <w:rPr>
                <w:sz w:val="24"/>
                <w:szCs w:val="24"/>
                <w:highlight w:val="yellow"/>
              </w:rPr>
            </w:pPr>
            <w:r>
              <w:rPr>
                <w:b/>
                <w:i/>
                <w:sz w:val="24"/>
                <w:szCs w:val="24"/>
              </w:rPr>
              <w:t>803 882,47</w:t>
            </w:r>
            <w:r w:rsidR="00976E69" w:rsidRPr="00184F2A">
              <w:rPr>
                <w:i/>
                <w:sz w:val="24"/>
                <w:szCs w:val="24"/>
              </w:rPr>
              <w:t xml:space="preserve"> </w:t>
            </w:r>
            <w:r w:rsidR="00976E69" w:rsidRPr="00184F2A">
              <w:rPr>
                <w:b/>
                <w:i/>
                <w:sz w:val="24"/>
                <w:szCs w:val="24"/>
              </w:rPr>
              <w:t>(</w:t>
            </w:r>
            <w:r>
              <w:rPr>
                <w:b/>
                <w:i/>
                <w:sz w:val="24"/>
                <w:szCs w:val="24"/>
              </w:rPr>
              <w:t xml:space="preserve">Восемьсот три тысячи </w:t>
            </w:r>
            <w:r w:rsidRPr="00184F2A">
              <w:rPr>
                <w:b/>
                <w:i/>
                <w:sz w:val="24"/>
                <w:szCs w:val="24"/>
              </w:rPr>
              <w:t>восемьсот</w:t>
            </w:r>
            <w:r>
              <w:rPr>
                <w:b/>
                <w:i/>
                <w:sz w:val="24"/>
                <w:szCs w:val="24"/>
              </w:rPr>
              <w:t xml:space="preserve"> восемьдесят два) рубля</w:t>
            </w:r>
            <w:r w:rsidR="002318E1" w:rsidRPr="00184F2A">
              <w:rPr>
                <w:b/>
                <w:i/>
                <w:sz w:val="24"/>
                <w:szCs w:val="24"/>
              </w:rPr>
              <w:t xml:space="preserve">, </w:t>
            </w:r>
            <w:r>
              <w:rPr>
                <w:b/>
                <w:i/>
                <w:sz w:val="24"/>
                <w:szCs w:val="24"/>
              </w:rPr>
              <w:lastRenderedPageBreak/>
              <w:t>47</w:t>
            </w:r>
            <w:r w:rsidR="00976E69" w:rsidRPr="00184F2A">
              <w:rPr>
                <w:b/>
                <w:i/>
                <w:sz w:val="24"/>
                <w:szCs w:val="24"/>
              </w:rPr>
              <w:t>копеек</w:t>
            </w:r>
            <w:r w:rsidR="002318E1" w:rsidRPr="00184F2A">
              <w:rPr>
                <w:i/>
                <w:sz w:val="24"/>
                <w:szCs w:val="24"/>
              </w:rPr>
              <w:t>, без у</w:t>
            </w:r>
            <w:r w:rsidR="002318E1">
              <w:rPr>
                <w:i/>
                <w:sz w:val="24"/>
                <w:szCs w:val="24"/>
              </w:rPr>
              <w:t>чета НДС.</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67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7B3516" w:rsidP="005D709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DB7615" w:rsidRDefault="00DB7615"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lastRenderedPageBreak/>
              <w:t>Дата и время начала и окончания подачи заявки на участие в закупке:</w:t>
            </w:r>
          </w:p>
          <w:p w:rsidR="0009660A" w:rsidRPr="00AD7B5B" w:rsidRDefault="00E16545" w:rsidP="00D6760A">
            <w:pPr>
              <w:spacing w:before="60" w:after="60"/>
              <w:jc w:val="both"/>
              <w:rPr>
                <w:color w:val="FF0000"/>
                <w:sz w:val="24"/>
                <w:szCs w:val="24"/>
              </w:rPr>
            </w:pPr>
            <w:r>
              <w:rPr>
                <w:rFonts w:eastAsia="Calibri"/>
                <w:sz w:val="24"/>
                <w:szCs w:val="24"/>
                <w:lang w:eastAsia="en-US"/>
              </w:rPr>
              <w:t>04.02.2022-10</w:t>
            </w:r>
            <w:r w:rsidR="00184F2A">
              <w:rPr>
                <w:rFonts w:eastAsia="Calibri"/>
                <w:sz w:val="24"/>
                <w:szCs w:val="24"/>
                <w:lang w:eastAsia="en-US"/>
              </w:rPr>
              <w:t>.02.2022</w:t>
            </w:r>
            <w:r w:rsidR="00D6760A" w:rsidRPr="00184F2A">
              <w:rPr>
                <w:rFonts w:eastAsia="Calibri"/>
                <w:sz w:val="24"/>
                <w:szCs w:val="24"/>
                <w:lang w:eastAsia="en-US"/>
              </w:rPr>
              <w:t xml:space="preserve">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184F2A" w:rsidRDefault="0009660A" w:rsidP="005D7098">
            <w:pPr>
              <w:contextualSpacing/>
              <w:jc w:val="both"/>
              <w:rPr>
                <w:b/>
                <w:sz w:val="24"/>
                <w:szCs w:val="24"/>
                <w:u w:val="single"/>
              </w:rPr>
            </w:pPr>
            <w:r w:rsidRPr="00184F2A">
              <w:rPr>
                <w:b/>
                <w:sz w:val="24"/>
                <w:szCs w:val="24"/>
                <w:u w:val="single"/>
              </w:rPr>
              <w:t>Рассмотрение заявки:</w:t>
            </w:r>
          </w:p>
          <w:p w:rsidR="0009660A" w:rsidRPr="00184F2A" w:rsidRDefault="0009660A" w:rsidP="005D7098">
            <w:pPr>
              <w:contextualSpacing/>
              <w:jc w:val="both"/>
              <w:rPr>
                <w:i/>
                <w:sz w:val="24"/>
                <w:szCs w:val="24"/>
              </w:rPr>
            </w:pPr>
            <w:r w:rsidRPr="00184F2A">
              <w:rPr>
                <w:sz w:val="24"/>
                <w:szCs w:val="24"/>
              </w:rPr>
              <w:t>Рассмотрение заявки производится в составе закупочной комиссии</w:t>
            </w:r>
            <w:r w:rsidR="00D6760A" w:rsidRPr="00184F2A">
              <w:rPr>
                <w:sz w:val="24"/>
                <w:szCs w:val="24"/>
              </w:rPr>
              <w:t xml:space="preserve"> </w:t>
            </w:r>
            <w:r w:rsidR="00E16545">
              <w:rPr>
                <w:i/>
                <w:sz w:val="24"/>
                <w:szCs w:val="24"/>
              </w:rPr>
              <w:t>АН ДОО «Алмазик» 10</w:t>
            </w:r>
            <w:r w:rsidR="002318E1" w:rsidRPr="00184F2A">
              <w:rPr>
                <w:i/>
                <w:sz w:val="24"/>
                <w:szCs w:val="24"/>
              </w:rPr>
              <w:t>.02</w:t>
            </w:r>
            <w:r w:rsidR="00184F2A">
              <w:rPr>
                <w:i/>
                <w:sz w:val="24"/>
                <w:szCs w:val="24"/>
              </w:rPr>
              <w:t>.2022</w:t>
            </w:r>
            <w:r w:rsidR="00D6760A" w:rsidRPr="00184F2A">
              <w:rPr>
                <w:i/>
                <w:sz w:val="24"/>
                <w:szCs w:val="24"/>
              </w:rPr>
              <w:t xml:space="preserve"> в 11:00 часов (+6МСК) </w:t>
            </w:r>
            <w:r w:rsidRPr="00184F2A">
              <w:rPr>
                <w:sz w:val="24"/>
                <w:szCs w:val="24"/>
              </w:rPr>
              <w:t xml:space="preserve">в установленном документацией порядке по адресу </w:t>
            </w:r>
            <w:r w:rsidR="007E3DE1" w:rsidRPr="00184F2A">
              <w:rPr>
                <w:rFonts w:eastAsia="Calibri"/>
                <w:sz w:val="26"/>
                <w:szCs w:val="26"/>
                <w:lang w:eastAsia="en-US"/>
              </w:rPr>
              <w:t>678170, РС(Я), г. Мирный, ул. Ленина, 14 «А», каб. 218.</w:t>
            </w:r>
            <w:r w:rsidRPr="00184F2A">
              <w:rPr>
                <w:b/>
                <w:bCs/>
                <w:i/>
                <w:iCs/>
                <w:sz w:val="24"/>
                <w:szCs w:val="24"/>
              </w:rPr>
              <w:t> </w:t>
            </w:r>
          </w:p>
          <w:p w:rsidR="007E3DE1" w:rsidRPr="00184F2A" w:rsidRDefault="007E3DE1" w:rsidP="005D7098">
            <w:pPr>
              <w:contextualSpacing/>
              <w:jc w:val="both"/>
              <w:rPr>
                <w:b/>
                <w:sz w:val="24"/>
                <w:szCs w:val="24"/>
                <w:u w:val="single"/>
              </w:rPr>
            </w:pPr>
          </w:p>
          <w:p w:rsidR="0009660A" w:rsidRPr="00184F2A" w:rsidRDefault="0009660A" w:rsidP="005D7098">
            <w:pPr>
              <w:contextualSpacing/>
              <w:jc w:val="both"/>
              <w:rPr>
                <w:b/>
                <w:sz w:val="24"/>
                <w:szCs w:val="24"/>
                <w:u w:val="single"/>
              </w:rPr>
            </w:pPr>
            <w:r w:rsidRPr="00184F2A">
              <w:rPr>
                <w:b/>
                <w:sz w:val="24"/>
                <w:szCs w:val="24"/>
                <w:u w:val="single"/>
              </w:rPr>
              <w:t>Подведение итогов:</w:t>
            </w:r>
          </w:p>
          <w:p w:rsidR="0009660A" w:rsidRPr="00184F2A" w:rsidRDefault="0009660A" w:rsidP="005D7098">
            <w:pPr>
              <w:contextualSpacing/>
              <w:jc w:val="both"/>
              <w:rPr>
                <w:sz w:val="24"/>
                <w:szCs w:val="24"/>
              </w:rPr>
            </w:pPr>
            <w:r w:rsidRPr="00184F2A">
              <w:rPr>
                <w:sz w:val="24"/>
                <w:szCs w:val="24"/>
              </w:rPr>
              <w:t xml:space="preserve">Подведение итогов закупки производится в составе Закупочной </w:t>
            </w:r>
            <w:r w:rsidR="007F69DD" w:rsidRPr="00184F2A">
              <w:rPr>
                <w:sz w:val="24"/>
                <w:szCs w:val="24"/>
              </w:rPr>
              <w:t xml:space="preserve">комиссии </w:t>
            </w:r>
            <w:r w:rsidR="007E3DE1" w:rsidRPr="00184F2A">
              <w:rPr>
                <w:sz w:val="24"/>
                <w:szCs w:val="24"/>
              </w:rPr>
              <w:t xml:space="preserve">в составе закупочной комиссии </w:t>
            </w:r>
            <w:r w:rsidR="00E16545">
              <w:rPr>
                <w:i/>
                <w:sz w:val="24"/>
                <w:szCs w:val="24"/>
              </w:rPr>
              <w:t>АН ДОО «Алмазик» 10</w:t>
            </w:r>
            <w:bookmarkStart w:id="2" w:name="_GoBack"/>
            <w:bookmarkEnd w:id="2"/>
            <w:r w:rsidR="002318E1" w:rsidRPr="00184F2A">
              <w:rPr>
                <w:i/>
                <w:sz w:val="24"/>
                <w:szCs w:val="24"/>
              </w:rPr>
              <w:t>.02</w:t>
            </w:r>
            <w:r w:rsidR="00184F2A">
              <w:rPr>
                <w:i/>
                <w:sz w:val="24"/>
                <w:szCs w:val="24"/>
              </w:rPr>
              <w:t>.2022</w:t>
            </w:r>
            <w:r w:rsidR="007E3DE1" w:rsidRPr="00184F2A">
              <w:rPr>
                <w:i/>
                <w:sz w:val="24"/>
                <w:szCs w:val="24"/>
              </w:rPr>
              <w:t xml:space="preserve"> в 11:00 часов (+6МСК) </w:t>
            </w:r>
            <w:r w:rsidR="007E3DE1" w:rsidRPr="00184F2A">
              <w:rPr>
                <w:sz w:val="24"/>
                <w:szCs w:val="24"/>
              </w:rPr>
              <w:t xml:space="preserve">в установленном документацией порядке по адресу </w:t>
            </w:r>
            <w:r w:rsidR="007E3DE1" w:rsidRPr="00184F2A">
              <w:rPr>
                <w:rFonts w:eastAsia="Calibri"/>
                <w:sz w:val="26"/>
                <w:szCs w:val="26"/>
                <w:lang w:eastAsia="en-US"/>
              </w:rPr>
              <w:t>678170, РС(Я), г. Мирный, ул. Ленина, 14 «А», каб. 218.</w:t>
            </w:r>
            <w:r w:rsidR="007E3DE1" w:rsidRPr="00184F2A">
              <w:rPr>
                <w:b/>
                <w:bCs/>
                <w:i/>
                <w:iCs/>
                <w:sz w:val="24"/>
                <w:szCs w:val="24"/>
              </w:rPr>
              <w:t> </w:t>
            </w:r>
          </w:p>
          <w:p w:rsidR="0009660A" w:rsidRPr="00DB7615" w:rsidRDefault="0009660A" w:rsidP="005D7098">
            <w:pPr>
              <w:contextualSpacing/>
              <w:jc w:val="both"/>
              <w:rPr>
                <w:sz w:val="24"/>
                <w:szCs w:val="24"/>
                <w:highlight w:val="yellow"/>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lastRenderedPageBreak/>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r w:rsidR="00661F47" w:rsidRPr="00F95A83">
              <w:rPr>
                <w:sz w:val="24"/>
                <w:szCs w:val="24"/>
              </w:rPr>
              <w:t>лица, подтверждающего</w:t>
            </w:r>
            <w:r w:rsidRPr="00F95A8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661F47" w:rsidRPr="00F95A83">
              <w:rPr>
                <w:sz w:val="24"/>
                <w:szCs w:val="24"/>
              </w:rPr>
              <w:t>приложению,</w:t>
            </w:r>
            <w:r w:rsidRPr="00F95A83">
              <w:rPr>
                <w:sz w:val="24"/>
                <w:szCs w:val="24"/>
              </w:rPr>
              <w:t xml:space="preserve">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w:t>
            </w:r>
            <w:r w:rsidRPr="00F95A83">
              <w:rPr>
                <w:i/>
                <w:sz w:val="24"/>
                <w:szCs w:val="24"/>
              </w:rPr>
              <w:lastRenderedPageBreak/>
              <w:t>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w:t>
            </w:r>
            <w:r w:rsidR="00661F47"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lastRenderedPageBreak/>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w:t>
            </w:r>
            <w:r w:rsidR="006623D9" w:rsidRPr="00F95A83">
              <w:rPr>
                <w:i/>
                <w:sz w:val="24"/>
                <w:szCs w:val="24"/>
              </w:rPr>
              <w:t>выписку из</w:t>
            </w:r>
            <w:r w:rsidRPr="00F95A83">
              <w:rPr>
                <w:i/>
                <w:sz w:val="24"/>
                <w:szCs w:val="24"/>
              </w:rPr>
              <w:t xml:space="preserve">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6623D9" w:rsidRPr="00F95A83">
              <w:rPr>
                <w:sz w:val="24"/>
                <w:szCs w:val="24"/>
              </w:rPr>
              <w:t>приложению,</w:t>
            </w:r>
            <w:r w:rsidRPr="00F95A83">
              <w:rPr>
                <w:sz w:val="24"/>
                <w:szCs w:val="24"/>
              </w:rPr>
              <w:t xml:space="preserve">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lastRenderedPageBreak/>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6623D9"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6623D9" w:rsidRPr="00F95A83">
              <w:rPr>
                <w:sz w:val="24"/>
                <w:szCs w:val="24"/>
              </w:rPr>
              <w:t>приложению,</w:t>
            </w:r>
            <w:r w:rsidR="0009660A" w:rsidRPr="00F95A83">
              <w:rPr>
                <w:sz w:val="24"/>
                <w:szCs w:val="24"/>
              </w:rPr>
              <w:t xml:space="preserve">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lastRenderedPageBreak/>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w:t>
            </w:r>
            <w:r w:rsidR="006623D9" w:rsidRPr="00F95A83">
              <w:rPr>
                <w:sz w:val="24"/>
                <w:szCs w:val="24"/>
              </w:rPr>
              <w:t>приложению,</w:t>
            </w:r>
            <w:r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6623D9"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6623D9"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w:t>
      </w:r>
      <w:r w:rsidR="006623D9" w:rsidRPr="00AD7B5B">
        <w:rPr>
          <w:color w:val="000000"/>
          <w:sz w:val="24"/>
          <w:szCs w:val="24"/>
        </w:rPr>
        <w:t>Проект договора,</w:t>
      </w:r>
      <w:r w:rsidRPr="00AD7B5B">
        <w:rPr>
          <w:color w:val="000000"/>
          <w:sz w:val="24"/>
          <w:szCs w:val="24"/>
        </w:rPr>
        <w:t xml:space="preserve">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DF59F1">
        <w:rPr>
          <w:sz w:val="24"/>
          <w:szCs w:val="24"/>
        </w:rPr>
        <w:t xml:space="preserve">         Соловьева С.Н.</w:t>
      </w:r>
    </w:p>
    <w:p w:rsidR="0009660A" w:rsidRPr="007F69DD" w:rsidRDefault="007F69DD" w:rsidP="0009660A">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sidR="0009660A" w:rsidRPr="00AD7B5B">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516" w:rsidRDefault="007B3516" w:rsidP="0009660A">
      <w:r>
        <w:separator/>
      </w:r>
    </w:p>
  </w:endnote>
  <w:endnote w:type="continuationSeparator" w:id="0">
    <w:p w:rsidR="007B3516" w:rsidRDefault="007B3516"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516" w:rsidRDefault="007B3516" w:rsidP="0009660A">
      <w:r>
        <w:separator/>
      </w:r>
    </w:p>
  </w:footnote>
  <w:footnote w:type="continuationSeparator" w:id="0">
    <w:p w:rsidR="007B3516" w:rsidRDefault="007B3516"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E2B"/>
    <w:rsid w:val="0009660A"/>
    <w:rsid w:val="000B430B"/>
    <w:rsid w:val="000B436E"/>
    <w:rsid w:val="000C7FAC"/>
    <w:rsid w:val="0011199E"/>
    <w:rsid w:val="001253D4"/>
    <w:rsid w:val="00163000"/>
    <w:rsid w:val="00175575"/>
    <w:rsid w:val="00184F2A"/>
    <w:rsid w:val="001C738A"/>
    <w:rsid w:val="002318E1"/>
    <w:rsid w:val="00280A89"/>
    <w:rsid w:val="00284B22"/>
    <w:rsid w:val="002B5A58"/>
    <w:rsid w:val="0033641A"/>
    <w:rsid w:val="003D77FD"/>
    <w:rsid w:val="00420A00"/>
    <w:rsid w:val="00430DE7"/>
    <w:rsid w:val="004471E3"/>
    <w:rsid w:val="00495880"/>
    <w:rsid w:val="004B7027"/>
    <w:rsid w:val="0055558C"/>
    <w:rsid w:val="005C342A"/>
    <w:rsid w:val="005D0BCA"/>
    <w:rsid w:val="005D2F1D"/>
    <w:rsid w:val="005E1124"/>
    <w:rsid w:val="00632070"/>
    <w:rsid w:val="00661F47"/>
    <w:rsid w:val="006623D9"/>
    <w:rsid w:val="006F68D1"/>
    <w:rsid w:val="00704B13"/>
    <w:rsid w:val="007366A9"/>
    <w:rsid w:val="00781A9A"/>
    <w:rsid w:val="007B3516"/>
    <w:rsid w:val="007E3DE1"/>
    <w:rsid w:val="007F69DD"/>
    <w:rsid w:val="00832A25"/>
    <w:rsid w:val="008431E6"/>
    <w:rsid w:val="00864B34"/>
    <w:rsid w:val="00892A4B"/>
    <w:rsid w:val="008E04AA"/>
    <w:rsid w:val="00976E69"/>
    <w:rsid w:val="009A0837"/>
    <w:rsid w:val="009D4B06"/>
    <w:rsid w:val="00A4185E"/>
    <w:rsid w:val="00AC02F3"/>
    <w:rsid w:val="00AC332C"/>
    <w:rsid w:val="00B544EC"/>
    <w:rsid w:val="00C07EDD"/>
    <w:rsid w:val="00C118E7"/>
    <w:rsid w:val="00C162E0"/>
    <w:rsid w:val="00C843E2"/>
    <w:rsid w:val="00C92BAA"/>
    <w:rsid w:val="00CB204D"/>
    <w:rsid w:val="00CD1821"/>
    <w:rsid w:val="00D1474D"/>
    <w:rsid w:val="00D6760A"/>
    <w:rsid w:val="00D87453"/>
    <w:rsid w:val="00DB7615"/>
    <w:rsid w:val="00DF59F1"/>
    <w:rsid w:val="00DF7109"/>
    <w:rsid w:val="00E16545"/>
    <w:rsid w:val="00EA39D8"/>
    <w:rsid w:val="00EB6FDE"/>
    <w:rsid w:val="00EC2E59"/>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E5287-859A-4D84-AA06-D9138C228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10</Pages>
  <Words>4598</Words>
  <Characters>26211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Надирадзе Екатерина Валиковна</cp:lastModifiedBy>
  <cp:revision>24</cp:revision>
  <cp:lastPrinted>2022-01-26T02:54:00Z</cp:lastPrinted>
  <dcterms:created xsi:type="dcterms:W3CDTF">2018-06-18T05:00:00Z</dcterms:created>
  <dcterms:modified xsi:type="dcterms:W3CDTF">2022-02-08T08:05:00Z</dcterms:modified>
</cp:coreProperties>
</file>